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8859D" w14:textId="77777777" w:rsidR="005757B2" w:rsidRPr="000E5525" w:rsidRDefault="005757B2" w:rsidP="0068528A">
      <w:pPr>
        <w:spacing w:after="0" w:line="360" w:lineRule="auto"/>
        <w:jc w:val="center"/>
        <w:rPr>
          <w:rFonts w:asciiTheme="majorHAnsi" w:hAnsiTheme="majorHAnsi" w:cs="Times New Roman"/>
          <w:b/>
          <w:sz w:val="24"/>
          <w:szCs w:val="24"/>
        </w:rPr>
      </w:pPr>
    </w:p>
    <w:p w14:paraId="1E5AAC2F" w14:textId="77777777" w:rsidR="005757B2" w:rsidRPr="000E5525" w:rsidRDefault="005757B2" w:rsidP="0068528A">
      <w:pPr>
        <w:spacing w:after="0" w:line="360" w:lineRule="auto"/>
        <w:jc w:val="center"/>
        <w:rPr>
          <w:rFonts w:asciiTheme="majorHAnsi" w:hAnsiTheme="majorHAnsi" w:cs="Times New Roman"/>
          <w:b/>
          <w:sz w:val="24"/>
          <w:szCs w:val="24"/>
        </w:rPr>
      </w:pPr>
    </w:p>
    <w:p w14:paraId="178C39E1" w14:textId="77777777" w:rsidR="005757B2" w:rsidRPr="000E5525" w:rsidRDefault="005757B2" w:rsidP="0068528A">
      <w:pPr>
        <w:spacing w:after="0" w:line="360" w:lineRule="auto"/>
        <w:jc w:val="center"/>
        <w:rPr>
          <w:rFonts w:asciiTheme="majorHAnsi" w:hAnsiTheme="majorHAnsi" w:cs="Times New Roman"/>
          <w:b/>
          <w:sz w:val="24"/>
          <w:szCs w:val="24"/>
        </w:rPr>
      </w:pPr>
    </w:p>
    <w:p w14:paraId="7995260E" w14:textId="77777777" w:rsidR="005757B2" w:rsidRPr="000E5525" w:rsidRDefault="005757B2" w:rsidP="0068528A">
      <w:pPr>
        <w:spacing w:after="0" w:line="360" w:lineRule="auto"/>
        <w:rPr>
          <w:rFonts w:asciiTheme="majorHAnsi" w:hAnsiTheme="majorHAnsi" w:cs="Times New Roman"/>
          <w:b/>
          <w:sz w:val="24"/>
          <w:szCs w:val="24"/>
        </w:rPr>
      </w:pPr>
    </w:p>
    <w:p w14:paraId="69E1E590" w14:textId="77777777" w:rsidR="005757B2" w:rsidRPr="000E5525" w:rsidRDefault="005757B2" w:rsidP="0068528A">
      <w:pPr>
        <w:spacing w:after="0" w:line="360" w:lineRule="auto"/>
        <w:jc w:val="center"/>
        <w:rPr>
          <w:rFonts w:asciiTheme="majorHAnsi" w:hAnsiTheme="majorHAnsi" w:cs="Times New Roman"/>
          <w:b/>
          <w:sz w:val="24"/>
          <w:szCs w:val="24"/>
        </w:rPr>
      </w:pPr>
    </w:p>
    <w:p w14:paraId="1A30B688" w14:textId="77777777" w:rsidR="005757B2" w:rsidRPr="000E5525" w:rsidRDefault="005757B2" w:rsidP="0068528A">
      <w:pPr>
        <w:spacing w:after="0" w:line="360" w:lineRule="auto"/>
        <w:rPr>
          <w:rFonts w:asciiTheme="majorHAnsi" w:hAnsiTheme="majorHAnsi" w:cs="Times New Roman"/>
          <w:b/>
          <w:sz w:val="24"/>
          <w:szCs w:val="24"/>
        </w:rPr>
      </w:pPr>
    </w:p>
    <w:p w14:paraId="59D7447D" w14:textId="77777777" w:rsidR="005757B2" w:rsidRPr="000E5525" w:rsidRDefault="005757B2" w:rsidP="0068528A">
      <w:pPr>
        <w:spacing w:after="0" w:line="360" w:lineRule="auto"/>
        <w:jc w:val="center"/>
        <w:rPr>
          <w:rFonts w:asciiTheme="majorHAnsi" w:hAnsiTheme="majorHAnsi" w:cs="Times New Roman"/>
          <w:b/>
          <w:sz w:val="24"/>
          <w:szCs w:val="24"/>
        </w:rPr>
      </w:pPr>
    </w:p>
    <w:p w14:paraId="326B5B62" w14:textId="77777777" w:rsidR="005757B2" w:rsidRPr="000E5525" w:rsidRDefault="005757B2" w:rsidP="0068528A">
      <w:pPr>
        <w:spacing w:after="0" w:line="360" w:lineRule="auto"/>
        <w:jc w:val="center"/>
        <w:rPr>
          <w:rFonts w:asciiTheme="majorHAnsi" w:hAnsiTheme="majorHAnsi" w:cs="Times New Roman"/>
          <w:b/>
          <w:sz w:val="24"/>
          <w:szCs w:val="24"/>
        </w:rPr>
      </w:pPr>
    </w:p>
    <w:p w14:paraId="4107A337" w14:textId="77777777" w:rsidR="0068528A" w:rsidRPr="00621DAB" w:rsidRDefault="007E6C7C" w:rsidP="0068528A">
      <w:pPr>
        <w:spacing w:after="0" w:line="360" w:lineRule="auto"/>
        <w:jc w:val="center"/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</w:pPr>
      <w:r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G</w:t>
      </w:r>
      <w:r w:rsidR="005757B2"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 xml:space="preserve">odišnje izvješće o provedbi </w:t>
      </w:r>
    </w:p>
    <w:p w14:paraId="5B9D8EA0" w14:textId="5D0D406F" w:rsidR="00F810FC" w:rsidRPr="00621DAB" w:rsidRDefault="00C43B2F" w:rsidP="0068528A">
      <w:pPr>
        <w:spacing w:after="0" w:line="360" w:lineRule="auto"/>
        <w:jc w:val="center"/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</w:pPr>
      <w:r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P</w:t>
      </w:r>
      <w:r w:rsidR="005757B2"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 xml:space="preserve">rovedbenog programa za </w:t>
      </w:r>
      <w:r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razdoblje</w:t>
      </w:r>
    </w:p>
    <w:p w14:paraId="2D39B415" w14:textId="55BA6ECE" w:rsidR="00807536" w:rsidRPr="00621DAB" w:rsidRDefault="007E6C7C" w:rsidP="0068528A">
      <w:pPr>
        <w:pStyle w:val="Odlomakpopisa"/>
        <w:numPr>
          <w:ilvl w:val="0"/>
          <w:numId w:val="8"/>
        </w:numPr>
        <w:spacing w:after="0" w:line="360" w:lineRule="auto"/>
        <w:jc w:val="center"/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</w:pPr>
      <w:r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1.</w:t>
      </w:r>
      <w:r w:rsidR="00EF59E1"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 xml:space="preserve"> </w:t>
      </w:r>
      <w:r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202</w:t>
      </w:r>
      <w:r w:rsidR="002040C0"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5</w:t>
      </w:r>
      <w:r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. – 31</w:t>
      </w:r>
      <w:r w:rsidR="00807536"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 xml:space="preserve">. </w:t>
      </w:r>
      <w:r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12</w:t>
      </w:r>
      <w:r w:rsidR="00807536"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. 202</w:t>
      </w:r>
      <w:r w:rsidR="002040C0"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5</w:t>
      </w:r>
      <w:r w:rsidR="00807536"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.</w:t>
      </w:r>
    </w:p>
    <w:p w14:paraId="2C65D36C" w14:textId="77777777" w:rsidR="00C43B2F" w:rsidRPr="00621DAB" w:rsidRDefault="00C43B2F" w:rsidP="0068528A">
      <w:pPr>
        <w:pStyle w:val="Odlomakpopisa"/>
        <w:spacing w:after="0" w:line="360" w:lineRule="auto"/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</w:pPr>
    </w:p>
    <w:p w14:paraId="467569AA" w14:textId="5C00F71C" w:rsidR="005757B2" w:rsidRPr="00621DAB" w:rsidRDefault="005757B2" w:rsidP="0068528A">
      <w:pPr>
        <w:spacing w:after="0" w:line="360" w:lineRule="auto"/>
        <w:jc w:val="center"/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</w:pPr>
      <w:r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 xml:space="preserve">Općina </w:t>
      </w:r>
      <w:r w:rsidR="00C1528A" w:rsidRPr="00621DAB">
        <w:rPr>
          <w:rFonts w:asciiTheme="majorHAnsi" w:hAnsiTheme="majorHAnsi" w:cs="Times New Roman"/>
          <w:b/>
          <w:color w:val="365F91" w:themeColor="accent1" w:themeShade="BF"/>
          <w:sz w:val="36"/>
          <w:szCs w:val="36"/>
        </w:rPr>
        <w:t>Sveti Juraj na Bregu</w:t>
      </w:r>
    </w:p>
    <w:p w14:paraId="5E70787B" w14:textId="77777777" w:rsidR="00223CDB" w:rsidRPr="00127054" w:rsidRDefault="00223CDB" w:rsidP="0068528A">
      <w:pPr>
        <w:spacing w:after="0" w:line="360" w:lineRule="auto"/>
        <w:jc w:val="center"/>
        <w:rPr>
          <w:rFonts w:asciiTheme="majorHAnsi" w:hAnsiTheme="majorHAnsi" w:cs="Times New Roman"/>
          <w:sz w:val="40"/>
          <w:szCs w:val="40"/>
        </w:rPr>
      </w:pPr>
    </w:p>
    <w:p w14:paraId="21637AEC" w14:textId="4D8AB32F" w:rsidR="005757B2" w:rsidRPr="000E5525" w:rsidRDefault="00D11EA1" w:rsidP="0068528A">
      <w:pPr>
        <w:spacing w:after="0" w:line="360" w:lineRule="auto"/>
        <w:jc w:val="center"/>
        <w:rPr>
          <w:rFonts w:asciiTheme="majorHAnsi" w:hAnsiTheme="majorHAnsi" w:cs="Times New Roman"/>
          <w:sz w:val="24"/>
          <w:szCs w:val="24"/>
        </w:rPr>
      </w:pPr>
      <w:r w:rsidRPr="000E5525">
        <w:rPr>
          <w:rFonts w:asciiTheme="majorHAnsi" w:hAnsiTheme="majorHAnsi"/>
          <w:noProof/>
          <w:sz w:val="24"/>
          <w:szCs w:val="24"/>
          <w:lang w:eastAsia="hr-HR"/>
        </w:rPr>
        <w:drawing>
          <wp:inline distT="0" distB="0" distL="0" distR="0" wp14:anchorId="5D08EB2A" wp14:editId="33C08B0D">
            <wp:extent cx="1943894" cy="26574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949" cy="2661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F7340" w14:textId="77777777" w:rsidR="005757B2" w:rsidRPr="000E5525" w:rsidRDefault="005757B2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</w:p>
    <w:p w14:paraId="4EA5049D" w14:textId="77777777" w:rsidR="005757B2" w:rsidRPr="000E5525" w:rsidRDefault="005757B2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</w:p>
    <w:p w14:paraId="2BAED4E0" w14:textId="77777777" w:rsidR="005757B2" w:rsidRPr="000E5525" w:rsidRDefault="005757B2" w:rsidP="0068528A">
      <w:pPr>
        <w:spacing w:after="0" w:line="360" w:lineRule="auto"/>
        <w:jc w:val="center"/>
        <w:rPr>
          <w:rFonts w:asciiTheme="majorHAnsi" w:hAnsiTheme="majorHAnsi" w:cs="Times New Roman"/>
          <w:sz w:val="24"/>
          <w:szCs w:val="24"/>
        </w:rPr>
      </w:pPr>
    </w:p>
    <w:p w14:paraId="18DE93E1" w14:textId="77777777" w:rsidR="005F59B9" w:rsidRDefault="005F59B9" w:rsidP="005F59B9">
      <w:pPr>
        <w:spacing w:after="0" w:line="240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KLASA:</w:t>
      </w:r>
      <w:r w:rsidRPr="005F59B9">
        <w:t xml:space="preserve"> </w:t>
      </w:r>
      <w:r w:rsidRPr="005F59B9">
        <w:rPr>
          <w:rFonts w:asciiTheme="majorHAnsi" w:hAnsiTheme="majorHAnsi" w:cs="Times New Roman"/>
          <w:sz w:val="24"/>
          <w:szCs w:val="24"/>
        </w:rPr>
        <w:t>081-03/25-01/02</w:t>
      </w:r>
    </w:p>
    <w:p w14:paraId="6685EF8C" w14:textId="77777777" w:rsidR="005F59B9" w:rsidRDefault="005F59B9" w:rsidP="005F59B9">
      <w:pPr>
        <w:spacing w:after="0" w:line="240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URBROJ:</w:t>
      </w:r>
      <w:r w:rsidRPr="005F59B9">
        <w:t xml:space="preserve"> </w:t>
      </w:r>
      <w:r w:rsidRPr="005F59B9">
        <w:rPr>
          <w:rFonts w:asciiTheme="majorHAnsi" w:hAnsiTheme="majorHAnsi" w:cs="Times New Roman"/>
          <w:sz w:val="24"/>
          <w:szCs w:val="24"/>
        </w:rPr>
        <w:t>2109-16-01-26-4</w:t>
      </w:r>
    </w:p>
    <w:p w14:paraId="6D297282" w14:textId="6E2315B0" w:rsidR="005757B2" w:rsidRPr="000E5525" w:rsidRDefault="005F59B9" w:rsidP="005F59B9">
      <w:pPr>
        <w:spacing w:after="0" w:line="240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Pleškovec, 11. vel</w:t>
      </w:r>
      <w:r w:rsidR="00320760">
        <w:rPr>
          <w:rFonts w:asciiTheme="majorHAnsi" w:hAnsiTheme="majorHAnsi" w:cs="Times New Roman"/>
          <w:sz w:val="24"/>
          <w:szCs w:val="24"/>
        </w:rPr>
        <w:t>jače 2026.</w:t>
      </w:r>
      <w:r w:rsidR="005757B2" w:rsidRPr="000E5525">
        <w:rPr>
          <w:rFonts w:asciiTheme="majorHAnsi" w:hAnsiTheme="majorHAnsi" w:cs="Times New Roman"/>
          <w:sz w:val="24"/>
          <w:szCs w:val="24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4"/>
          <w:szCs w:val="24"/>
          <w:lang w:eastAsia="en-US"/>
        </w:rPr>
        <w:id w:val="-93257957"/>
        <w:docPartObj>
          <w:docPartGallery w:val="Table of Contents"/>
          <w:docPartUnique/>
        </w:docPartObj>
      </w:sdtPr>
      <w:sdtContent>
        <w:p w14:paraId="6A1ADCF6" w14:textId="77777777" w:rsidR="00A838FF" w:rsidRPr="00621DAB" w:rsidRDefault="00D93B36" w:rsidP="0068528A">
          <w:pPr>
            <w:pStyle w:val="TOCNaslov"/>
            <w:spacing w:before="0" w:line="360" w:lineRule="auto"/>
            <w:rPr>
              <w:rFonts w:cs="Times New Roman"/>
              <w:sz w:val="24"/>
              <w:szCs w:val="24"/>
            </w:rPr>
          </w:pPr>
          <w:r w:rsidRPr="00621DAB">
            <w:rPr>
              <w:rFonts w:cs="Times New Roman"/>
              <w:sz w:val="24"/>
              <w:szCs w:val="24"/>
            </w:rPr>
            <w:t xml:space="preserve">SADRŽAJ </w:t>
          </w:r>
        </w:p>
        <w:p w14:paraId="2657E857" w14:textId="77777777" w:rsidR="00D93B36" w:rsidRPr="000E5525" w:rsidRDefault="00D93B36" w:rsidP="0068528A">
          <w:pPr>
            <w:spacing w:after="0" w:line="360" w:lineRule="auto"/>
            <w:jc w:val="both"/>
            <w:rPr>
              <w:rFonts w:asciiTheme="majorHAnsi" w:hAnsiTheme="majorHAnsi" w:cs="Times New Roman"/>
              <w:sz w:val="24"/>
              <w:szCs w:val="24"/>
              <w:lang w:eastAsia="hr-HR"/>
            </w:rPr>
          </w:pPr>
        </w:p>
        <w:p w14:paraId="5639BFBA" w14:textId="542D58D4" w:rsidR="00621DAB" w:rsidRDefault="00A838FF">
          <w:pPr>
            <w:pStyle w:val="Sadra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r w:rsidRPr="00C43B2F">
            <w:rPr>
              <w:rFonts w:asciiTheme="majorHAnsi" w:hAnsiTheme="majorHAnsi" w:cs="Times New Roman"/>
              <w:sz w:val="24"/>
              <w:szCs w:val="24"/>
            </w:rPr>
            <w:fldChar w:fldCharType="begin"/>
          </w:r>
          <w:r w:rsidRPr="00C43B2F">
            <w:rPr>
              <w:rFonts w:asciiTheme="majorHAnsi" w:hAnsiTheme="majorHAnsi" w:cs="Times New Roman"/>
              <w:sz w:val="24"/>
              <w:szCs w:val="24"/>
            </w:rPr>
            <w:instrText xml:space="preserve"> TOC \o "1-3" \h \z \u </w:instrText>
          </w:r>
          <w:r w:rsidRPr="00C43B2F">
            <w:rPr>
              <w:rFonts w:asciiTheme="majorHAnsi" w:hAnsiTheme="majorHAnsi" w:cs="Times New Roman"/>
              <w:sz w:val="24"/>
              <w:szCs w:val="24"/>
            </w:rPr>
            <w:fldChar w:fldCharType="separate"/>
          </w:r>
          <w:hyperlink w:anchor="_Toc221536414" w:history="1">
            <w:r w:rsidR="00621DAB" w:rsidRPr="00FA0974">
              <w:rPr>
                <w:rStyle w:val="Hiperveza"/>
                <w:noProof/>
              </w:rPr>
              <w:t>1.</w:t>
            </w:r>
            <w:r w:rsidR="00621DAB"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="00621DAB" w:rsidRPr="00FA0974">
              <w:rPr>
                <w:rStyle w:val="Hiperveza"/>
                <w:noProof/>
              </w:rPr>
              <w:t>PREGLED STANJA U UPRAVNOM PODRUČJU</w:t>
            </w:r>
            <w:r w:rsidR="00621DAB">
              <w:rPr>
                <w:noProof/>
                <w:webHidden/>
              </w:rPr>
              <w:tab/>
            </w:r>
            <w:r w:rsidR="00621DAB">
              <w:rPr>
                <w:noProof/>
                <w:webHidden/>
              </w:rPr>
              <w:fldChar w:fldCharType="begin"/>
            </w:r>
            <w:r w:rsidR="00621DAB">
              <w:rPr>
                <w:noProof/>
                <w:webHidden/>
              </w:rPr>
              <w:instrText xml:space="preserve"> PAGEREF _Toc221536414 \h </w:instrText>
            </w:r>
            <w:r w:rsidR="00621DAB">
              <w:rPr>
                <w:noProof/>
                <w:webHidden/>
              </w:rPr>
            </w:r>
            <w:r w:rsidR="00621DAB">
              <w:rPr>
                <w:noProof/>
                <w:webHidden/>
              </w:rPr>
              <w:fldChar w:fldCharType="separate"/>
            </w:r>
            <w:r w:rsidR="00E30F7D">
              <w:rPr>
                <w:noProof/>
                <w:webHidden/>
              </w:rPr>
              <w:t>3</w:t>
            </w:r>
            <w:r w:rsidR="00621DAB">
              <w:rPr>
                <w:noProof/>
                <w:webHidden/>
              </w:rPr>
              <w:fldChar w:fldCharType="end"/>
            </w:r>
          </w:hyperlink>
        </w:p>
        <w:p w14:paraId="007D2614" w14:textId="3C4DE506" w:rsidR="00621DAB" w:rsidRDefault="00621DAB">
          <w:pPr>
            <w:pStyle w:val="Sadraj2"/>
            <w:tabs>
              <w:tab w:val="left" w:pos="960"/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1536415" w:history="1">
            <w:r w:rsidRPr="00FA0974">
              <w:rPr>
                <w:rStyle w:val="Hiperveza"/>
                <w:noProof/>
              </w:rPr>
              <w:t>1.1.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FA0974">
              <w:rPr>
                <w:rStyle w:val="Hiperveza"/>
                <w:noProof/>
              </w:rPr>
              <w:t>Uvod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_Toc221536415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0F7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2A8922" w14:textId="30083B84" w:rsidR="00621DAB" w:rsidRDefault="00621DAB">
          <w:pPr>
            <w:pStyle w:val="Sadraj2"/>
            <w:tabs>
              <w:tab w:val="left" w:pos="960"/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1536416" w:history="1">
            <w:r w:rsidRPr="00FA0974">
              <w:rPr>
                <w:rStyle w:val="Hiperveza"/>
                <w:noProof/>
              </w:rPr>
              <w:t>1.2.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FA0974">
              <w:rPr>
                <w:rStyle w:val="Hiperveza"/>
                <w:noProof/>
              </w:rPr>
              <w:t>Gospodarski, društveni i politički kontekst općine Sveti Juraj na Bregu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_Toc221536416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0F7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DBBC36" w14:textId="1A2B0D5D" w:rsidR="00621DAB" w:rsidRDefault="00621DAB">
          <w:pPr>
            <w:pStyle w:val="Sadra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1536417" w:history="1">
            <w:r w:rsidRPr="00FA0974">
              <w:rPr>
                <w:rStyle w:val="Hiperveza"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FA0974">
              <w:rPr>
                <w:rStyle w:val="Hiperveza"/>
                <w:noProof/>
              </w:rPr>
              <w:t>IZVJEŠĆE O NAPRETKU U PROVEDBI MJERA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_Toc221536417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0F7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D04746" w14:textId="725BC57B" w:rsidR="00621DAB" w:rsidRDefault="00621DAB">
          <w:pPr>
            <w:pStyle w:val="Sadra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1536418" w:history="1">
            <w:r w:rsidRPr="00FA0974">
              <w:rPr>
                <w:rStyle w:val="Hiperveza"/>
                <w:noProof/>
              </w:rPr>
              <w:t>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FA0974">
              <w:rPr>
                <w:rStyle w:val="Hiperveza"/>
                <w:noProof/>
              </w:rPr>
              <w:t>DOPRINOS OSTVARENJU CILJEVA JAVNIH POLITIKA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_Toc221536418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0F7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4B123C" w14:textId="21701297" w:rsidR="00621DAB" w:rsidRDefault="00621DAB">
          <w:pPr>
            <w:pStyle w:val="Sadraj1"/>
            <w:tabs>
              <w:tab w:val="left" w:pos="720"/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1536419" w:history="1">
            <w:r w:rsidRPr="00FA0974">
              <w:rPr>
                <w:rStyle w:val="Hiperveza"/>
                <w:noProof/>
              </w:rPr>
              <w:t>3.1.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FA0974">
              <w:rPr>
                <w:rStyle w:val="Hiperveza"/>
                <w:rFonts w:eastAsia="Calibri"/>
                <w:noProof/>
              </w:rPr>
              <w:t>STATUS PROVEDBE: PROVEDENO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_Toc221536419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0F7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075E6B" w14:textId="223C0E37" w:rsidR="00621DAB" w:rsidRDefault="00621DAB">
          <w:pPr>
            <w:pStyle w:val="Sadraj1"/>
            <w:tabs>
              <w:tab w:val="left" w:pos="720"/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1536420" w:history="1">
            <w:r w:rsidRPr="00FA0974">
              <w:rPr>
                <w:rStyle w:val="Hiperveza"/>
                <w:noProof/>
              </w:rPr>
              <w:t>3.2.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FA0974">
              <w:rPr>
                <w:rStyle w:val="Hiperveza"/>
                <w:rFonts w:eastAsia="Calibri"/>
                <w:noProof/>
              </w:rPr>
              <w:t>STATUS PROVEDBE: NIJE POKRENUTO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_Toc221536420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0F7D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BDE173" w14:textId="3B275532" w:rsidR="00621DAB" w:rsidRDefault="00621DAB">
          <w:pPr>
            <w:pStyle w:val="Sadraj1"/>
            <w:tabs>
              <w:tab w:val="left" w:pos="440"/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hr-HR"/>
              <w14:ligatures w14:val="standardContextual"/>
            </w:rPr>
          </w:pPr>
          <w:hyperlink w:anchor="_Toc221536421" w:history="1">
            <w:r w:rsidRPr="00FA0974">
              <w:rPr>
                <w:rStyle w:val="Hiperveza"/>
                <w:noProof/>
              </w:rPr>
              <w:t>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hr-HR"/>
                <w14:ligatures w14:val="standardContextual"/>
              </w:rPr>
              <w:tab/>
            </w:r>
            <w:r w:rsidRPr="00FA0974">
              <w:rPr>
                <w:rStyle w:val="Hiperveza"/>
                <w:noProof/>
              </w:rPr>
              <w:t>ZAKLJUČAK O OSTVARENOM NAPRETKU U PROVEDBI MJERA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_Toc221536421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E30F7D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A68458" w14:textId="4E7EC38E" w:rsidR="00A838FF" w:rsidRPr="000E5525" w:rsidRDefault="00A838FF" w:rsidP="0068528A">
          <w:pPr>
            <w:spacing w:after="0" w:line="360" w:lineRule="auto"/>
            <w:jc w:val="both"/>
            <w:rPr>
              <w:rFonts w:asciiTheme="majorHAnsi" w:hAnsiTheme="majorHAnsi"/>
              <w:sz w:val="24"/>
              <w:szCs w:val="24"/>
            </w:rPr>
          </w:pPr>
          <w:r w:rsidRPr="00C43B2F">
            <w:rPr>
              <w:rFonts w:asciiTheme="majorHAnsi" w:hAnsiTheme="majorHAnsi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14:paraId="04301D6E" w14:textId="77777777" w:rsidR="00A838FF" w:rsidRPr="000E5525" w:rsidRDefault="00A838FF" w:rsidP="0068528A">
      <w:pPr>
        <w:spacing w:after="0" w:line="360" w:lineRule="auto"/>
        <w:rPr>
          <w:rFonts w:asciiTheme="majorHAnsi" w:hAnsiTheme="majorHAnsi" w:cs="Times New Roman"/>
          <w:b/>
          <w:sz w:val="24"/>
          <w:szCs w:val="24"/>
        </w:rPr>
      </w:pPr>
    </w:p>
    <w:p w14:paraId="44E5C95F" w14:textId="77777777" w:rsidR="005757B2" w:rsidRPr="000E5525" w:rsidRDefault="005757B2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</w:p>
    <w:p w14:paraId="3E6B1522" w14:textId="77777777" w:rsidR="005757B2" w:rsidRPr="000E5525" w:rsidRDefault="005757B2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</w:p>
    <w:p w14:paraId="24C85A4C" w14:textId="77777777" w:rsidR="00895195" w:rsidRPr="000E5525" w:rsidRDefault="00895195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</w:p>
    <w:p w14:paraId="353CE2C9" w14:textId="77777777" w:rsidR="00895195" w:rsidRPr="000E5525" w:rsidRDefault="00895195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</w:p>
    <w:p w14:paraId="7BD5164D" w14:textId="77777777" w:rsidR="00895195" w:rsidRPr="000E5525" w:rsidRDefault="00895195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</w:p>
    <w:p w14:paraId="38C58DA5" w14:textId="77777777" w:rsidR="00895195" w:rsidRPr="000E5525" w:rsidRDefault="00895195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</w:p>
    <w:p w14:paraId="0DD7CE95" w14:textId="77777777" w:rsidR="00895195" w:rsidRPr="000E5525" w:rsidRDefault="00895195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</w:p>
    <w:p w14:paraId="2D16881A" w14:textId="77777777" w:rsidR="005757B2" w:rsidRPr="000E5525" w:rsidRDefault="005757B2" w:rsidP="0068528A">
      <w:pPr>
        <w:spacing w:after="0" w:line="360" w:lineRule="auto"/>
        <w:rPr>
          <w:rFonts w:asciiTheme="majorHAnsi" w:hAnsiTheme="majorHAnsi" w:cs="Times New Roman"/>
          <w:sz w:val="24"/>
          <w:szCs w:val="24"/>
        </w:rPr>
      </w:pPr>
      <w:r w:rsidRPr="000E5525">
        <w:rPr>
          <w:rFonts w:asciiTheme="majorHAnsi" w:hAnsiTheme="majorHAnsi" w:cs="Times New Roman"/>
          <w:sz w:val="24"/>
          <w:szCs w:val="24"/>
        </w:rPr>
        <w:br w:type="page"/>
      </w:r>
    </w:p>
    <w:p w14:paraId="5470239D" w14:textId="3DF52B86" w:rsidR="005757B2" w:rsidRPr="00127054" w:rsidRDefault="005757B2" w:rsidP="0068528A">
      <w:pPr>
        <w:pStyle w:val="Naslov1"/>
        <w:numPr>
          <w:ilvl w:val="0"/>
          <w:numId w:val="6"/>
        </w:numPr>
        <w:spacing w:line="360" w:lineRule="auto"/>
        <w:rPr>
          <w:rStyle w:val="Neupadljivoisticanje"/>
          <w:b/>
          <w:iCs w:val="0"/>
          <w:color w:val="365F91" w:themeColor="accent1" w:themeShade="BF"/>
        </w:rPr>
      </w:pPr>
      <w:bookmarkStart w:id="0" w:name="_Toc221536414"/>
      <w:r w:rsidRPr="00127054">
        <w:rPr>
          <w:rStyle w:val="Neupadljivoisticanje"/>
          <w:b/>
          <w:iCs w:val="0"/>
          <w:color w:val="365F91" w:themeColor="accent1" w:themeShade="BF"/>
        </w:rPr>
        <w:lastRenderedPageBreak/>
        <w:t>PREGLED STANJA U UPRAVNOM PODRUČJU</w:t>
      </w:r>
      <w:bookmarkEnd w:id="0"/>
      <w:r w:rsidRPr="00127054">
        <w:rPr>
          <w:rStyle w:val="Neupadljivoisticanje"/>
          <w:b/>
          <w:iCs w:val="0"/>
          <w:color w:val="365F91" w:themeColor="accent1" w:themeShade="BF"/>
        </w:rPr>
        <w:t xml:space="preserve"> </w:t>
      </w:r>
    </w:p>
    <w:p w14:paraId="01D3ECDA" w14:textId="77777777" w:rsidR="002461B0" w:rsidRPr="000E5525" w:rsidRDefault="002461B0" w:rsidP="0068528A">
      <w:pPr>
        <w:pStyle w:val="Naslov2"/>
        <w:spacing w:before="0" w:line="360" w:lineRule="auto"/>
        <w:rPr>
          <w:rFonts w:eastAsia="Times New Roman"/>
          <w:sz w:val="24"/>
          <w:szCs w:val="24"/>
        </w:rPr>
      </w:pPr>
      <w:bookmarkStart w:id="1" w:name="_Toc126584366"/>
    </w:p>
    <w:p w14:paraId="737EA9A6" w14:textId="24E29B95" w:rsidR="002461B0" w:rsidRPr="00127054" w:rsidRDefault="002461B0" w:rsidP="0068528A">
      <w:pPr>
        <w:pStyle w:val="Naslov2"/>
        <w:numPr>
          <w:ilvl w:val="1"/>
          <w:numId w:val="6"/>
        </w:numPr>
        <w:spacing w:line="360" w:lineRule="auto"/>
        <w:rPr>
          <w:rStyle w:val="Neupadljivoisticanje"/>
          <w:b w:val="0"/>
          <w:iCs w:val="0"/>
          <w:color w:val="365F91" w:themeColor="accent1" w:themeShade="BF"/>
        </w:rPr>
      </w:pPr>
      <w:bookmarkStart w:id="2" w:name="_Toc221536415"/>
      <w:r w:rsidRPr="00127054">
        <w:rPr>
          <w:rStyle w:val="Neupadljivoisticanje"/>
          <w:b w:val="0"/>
          <w:iCs w:val="0"/>
          <w:color w:val="365F91" w:themeColor="accent1" w:themeShade="BF"/>
        </w:rPr>
        <w:t>Uvod</w:t>
      </w:r>
      <w:bookmarkEnd w:id="1"/>
      <w:bookmarkEnd w:id="2"/>
      <w:r w:rsidRPr="00127054">
        <w:rPr>
          <w:rStyle w:val="Neupadljivoisticanje"/>
          <w:b w:val="0"/>
          <w:iCs w:val="0"/>
          <w:color w:val="365F91" w:themeColor="accent1" w:themeShade="BF"/>
        </w:rPr>
        <w:t xml:space="preserve"> </w:t>
      </w:r>
    </w:p>
    <w:p w14:paraId="5D3F419C" w14:textId="77777777" w:rsidR="002461B0" w:rsidRPr="000E5525" w:rsidRDefault="002461B0" w:rsidP="0068528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28ABCA3B" w14:textId="3CFCD15F" w:rsidR="000834EA" w:rsidRPr="000E5525" w:rsidRDefault="000834EA" w:rsidP="0068528A">
      <w:pPr>
        <w:spacing w:after="0" w:line="360" w:lineRule="auto"/>
        <w:jc w:val="both"/>
        <w:rPr>
          <w:rFonts w:asciiTheme="majorHAnsi" w:hAnsiTheme="majorHAnsi"/>
          <w:sz w:val="24"/>
          <w:szCs w:val="24"/>
        </w:rPr>
      </w:pPr>
      <w:r w:rsidRPr="000E5525">
        <w:rPr>
          <w:rFonts w:asciiTheme="majorHAnsi" w:hAnsiTheme="majorHAnsi"/>
          <w:sz w:val="24"/>
          <w:szCs w:val="24"/>
        </w:rPr>
        <w:t>Zakonom o sustavu strateškog planiranja i upravljanja razvojem Republike Hrvatske (»Narodne novine« broj 123/17) i Zakonom o izmjenama i dopunama Zakona o sustavu strateškog planiranja i upravljanja razvojem Republike Hrvatske (»Narodne novine« broj 151/22)</w:t>
      </w:r>
      <w:r w:rsidR="002461B0" w:rsidRPr="000E5525">
        <w:rPr>
          <w:rFonts w:asciiTheme="majorHAnsi" w:hAnsiTheme="majorHAnsi"/>
          <w:sz w:val="24"/>
          <w:szCs w:val="24"/>
        </w:rPr>
        <w:t xml:space="preserve"> (u daljnjem tekstu: Zakon) </w:t>
      </w:r>
      <w:r w:rsidRPr="000E5525">
        <w:rPr>
          <w:rFonts w:asciiTheme="majorHAnsi" w:hAnsiTheme="majorHAnsi"/>
          <w:sz w:val="24"/>
          <w:szCs w:val="24"/>
        </w:rPr>
        <w:t>uređen je sustav strateškog planiranja u Republici Hrvatskoj na svim razinama upravljanja (nacionalnoj, regionalnoj i lokalnoj razini) te način pripreme, izrade, provedbe, izvješćivanja, praćenja provedbe i učinaka te vrednovanja akata strateškog planiranja od nacionalnog značaja i od značaja za jedinice lokalne i područne (regionalne) samouprave.</w:t>
      </w:r>
    </w:p>
    <w:p w14:paraId="75FCD817" w14:textId="77777777" w:rsidR="000834EA" w:rsidRPr="000E5525" w:rsidRDefault="000834EA" w:rsidP="0068528A">
      <w:pPr>
        <w:spacing w:after="0" w:line="360" w:lineRule="auto"/>
        <w:jc w:val="both"/>
        <w:rPr>
          <w:rFonts w:asciiTheme="majorHAnsi" w:hAnsiTheme="majorHAnsi"/>
          <w:sz w:val="24"/>
          <w:szCs w:val="24"/>
        </w:rPr>
      </w:pPr>
    </w:p>
    <w:p w14:paraId="32F53E14" w14:textId="4B7BD1CA" w:rsidR="00D43CA3" w:rsidRDefault="00D43CA3" w:rsidP="0068528A">
      <w:pPr>
        <w:spacing w:after="0" w:line="360" w:lineRule="auto"/>
        <w:jc w:val="both"/>
        <w:rPr>
          <w:rFonts w:asciiTheme="majorHAnsi" w:hAnsiTheme="majorHAnsi"/>
          <w:sz w:val="24"/>
          <w:szCs w:val="24"/>
        </w:rPr>
      </w:pPr>
      <w:r w:rsidRPr="000E5525">
        <w:rPr>
          <w:rFonts w:asciiTheme="majorHAnsi" w:hAnsiTheme="majorHAnsi"/>
          <w:sz w:val="24"/>
          <w:szCs w:val="24"/>
        </w:rPr>
        <w:t xml:space="preserve">Ovo Izvješće izrađuje se sukladno Zakonu ali i Pravilniku o rokovima i postupcima praćenja i izvješćivanja o provedbi akata strateškog planiranja od nacionalnog značaja i od značaja za jedinice lokalne i područne (regionalne) samouprave NN 44/23. Godišnje izvješće o provedbi Provedbenog programa Općine Sveti Juraj na Bregu je izvješće o napretku u provedbi mjera, aktivnosti i projekata te ostvarivanju pokazatelja rezultata, koje Općina Sveti Juraj na Bregu putem lokalnog koordinatora podnosi regionalnom koordinatoru i Koordinacijskom tijelu jednom godišnje. </w:t>
      </w:r>
    </w:p>
    <w:p w14:paraId="7B510A39" w14:textId="77777777" w:rsidR="00EC4C3D" w:rsidRPr="000E5525" w:rsidRDefault="00EC4C3D" w:rsidP="0068528A">
      <w:pPr>
        <w:spacing w:after="0" w:line="360" w:lineRule="auto"/>
        <w:jc w:val="both"/>
        <w:rPr>
          <w:rFonts w:asciiTheme="majorHAnsi" w:eastAsiaTheme="majorEastAsia" w:hAnsiTheme="majorHAnsi" w:cstheme="majorBidi"/>
          <w:i/>
          <w:sz w:val="24"/>
          <w:szCs w:val="24"/>
        </w:rPr>
      </w:pPr>
    </w:p>
    <w:p w14:paraId="0C67E9C6" w14:textId="36D7ADB5" w:rsidR="00A95BFC" w:rsidRPr="00127054" w:rsidRDefault="00A95BFC" w:rsidP="0068528A">
      <w:pPr>
        <w:pStyle w:val="Naslov2"/>
        <w:numPr>
          <w:ilvl w:val="1"/>
          <w:numId w:val="6"/>
        </w:numPr>
        <w:spacing w:line="360" w:lineRule="auto"/>
        <w:rPr>
          <w:rStyle w:val="Neupadljivoisticanje"/>
          <w:b w:val="0"/>
          <w:iCs w:val="0"/>
          <w:color w:val="365F91" w:themeColor="accent1" w:themeShade="BF"/>
        </w:rPr>
      </w:pPr>
      <w:bookmarkStart w:id="3" w:name="_Toc221536416"/>
      <w:r w:rsidRPr="00127054">
        <w:rPr>
          <w:rStyle w:val="Neupadljivoisticanje"/>
          <w:b w:val="0"/>
          <w:iCs w:val="0"/>
          <w:color w:val="365F91" w:themeColor="accent1" w:themeShade="BF"/>
        </w:rPr>
        <w:t>Gospodarski</w:t>
      </w:r>
      <w:r w:rsidR="00461D18" w:rsidRPr="00127054">
        <w:rPr>
          <w:rStyle w:val="Neupadljivoisticanje"/>
          <w:b w:val="0"/>
          <w:iCs w:val="0"/>
          <w:color w:val="365F91" w:themeColor="accent1" w:themeShade="BF"/>
        </w:rPr>
        <w:t>,</w:t>
      </w:r>
      <w:r w:rsidRPr="00127054">
        <w:rPr>
          <w:rStyle w:val="Neupadljivoisticanje"/>
          <w:b w:val="0"/>
          <w:iCs w:val="0"/>
          <w:color w:val="365F91" w:themeColor="accent1" w:themeShade="BF"/>
        </w:rPr>
        <w:t xml:space="preserve"> društveni i politički kontekst općine Sveti Juraj na Bregu</w:t>
      </w:r>
      <w:bookmarkEnd w:id="3"/>
    </w:p>
    <w:p w14:paraId="3A320697" w14:textId="77777777" w:rsidR="002461B0" w:rsidRPr="000E5525" w:rsidRDefault="002461B0" w:rsidP="0068528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2F72EE50" w14:textId="0F010A53" w:rsidR="00A56F31" w:rsidRPr="000E5525" w:rsidRDefault="00A56F31" w:rsidP="0068528A">
      <w:pPr>
        <w:spacing w:after="0" w:line="360" w:lineRule="auto"/>
        <w:jc w:val="both"/>
        <w:rPr>
          <w:rFonts w:asciiTheme="majorHAnsi" w:hAnsiTheme="majorHAnsi"/>
          <w:sz w:val="24"/>
          <w:szCs w:val="24"/>
        </w:rPr>
      </w:pPr>
      <w:r w:rsidRPr="000E5525">
        <w:rPr>
          <w:rFonts w:asciiTheme="majorHAnsi" w:hAnsiTheme="majorHAnsi"/>
          <w:sz w:val="24"/>
          <w:szCs w:val="24"/>
        </w:rPr>
        <w:t>Općina Sveti Juraj na Bregu smještena je u zapadnom dijelu Međimurske županije na teritoriju površine 30,17 km</w:t>
      </w:r>
      <w:r w:rsidRPr="000E5525">
        <w:rPr>
          <w:rFonts w:asciiTheme="majorHAnsi" w:hAnsiTheme="majorHAnsi"/>
          <w:sz w:val="24"/>
          <w:szCs w:val="24"/>
          <w:vertAlign w:val="superscript"/>
        </w:rPr>
        <w:t>2</w:t>
      </w:r>
      <w:r w:rsidRPr="000E5525">
        <w:rPr>
          <w:rFonts w:asciiTheme="majorHAnsi" w:hAnsiTheme="majorHAnsi"/>
          <w:sz w:val="24"/>
          <w:szCs w:val="24"/>
        </w:rPr>
        <w:t>. U sastavu općine je 9 naselja: Brezje, Dragoslavec, Frkanovec, Lopatinec, Mali Mihaljevec, Okrugli Vrh, Pleškovec, Vučetinec i Zasadbreg od kojih je Lopatinec najveće naselje. Prema popisu stanovništva iz 2021. na području općine živi 4.929 stanovnika. Stanovništvo je gotovo ravnomjerno raspoređeno na svih devet naselja.</w:t>
      </w:r>
    </w:p>
    <w:p w14:paraId="5414F9B7" w14:textId="2629054A" w:rsidR="006050F7" w:rsidRPr="000E5525" w:rsidRDefault="006050F7" w:rsidP="0068528A">
      <w:pPr>
        <w:spacing w:after="0" w:line="360" w:lineRule="auto"/>
        <w:jc w:val="both"/>
        <w:rPr>
          <w:rFonts w:asciiTheme="majorHAnsi" w:hAnsiTheme="majorHAnsi"/>
          <w:sz w:val="24"/>
          <w:szCs w:val="24"/>
        </w:rPr>
      </w:pPr>
      <w:r w:rsidRPr="000E5525">
        <w:rPr>
          <w:rFonts w:asciiTheme="majorHAnsi" w:hAnsiTheme="majorHAnsi"/>
          <w:sz w:val="24"/>
          <w:szCs w:val="24"/>
        </w:rPr>
        <w:t xml:space="preserve">Statutom Općine Sveti Juraj na Bregu uređen je samoupravni djelokrug rada Općine Sveti Juraj na Bregu. Općina je samostalna u odlučivanju u poslovima iz samoupravnog djelokruga u skladu s Ustavom Republike Hrvatske i zakonom, te podliježe nadzoru </w:t>
      </w:r>
      <w:r w:rsidRPr="000E5525">
        <w:rPr>
          <w:rFonts w:asciiTheme="majorHAnsi" w:hAnsiTheme="majorHAnsi"/>
          <w:sz w:val="24"/>
          <w:szCs w:val="24"/>
        </w:rPr>
        <w:lastRenderedPageBreak/>
        <w:t xml:space="preserve">zakonitosti rada i akata tijela Općine. </w:t>
      </w:r>
      <w:r w:rsidR="001957B2" w:rsidRPr="000E5525">
        <w:rPr>
          <w:rFonts w:asciiTheme="majorHAnsi" w:hAnsiTheme="majorHAnsi"/>
          <w:sz w:val="24"/>
          <w:szCs w:val="24"/>
        </w:rPr>
        <w:t>Općina svoj razvoj temelji na konceptu</w:t>
      </w:r>
      <w:r w:rsidR="00B35BD5" w:rsidRPr="000E5525">
        <w:rPr>
          <w:rFonts w:asciiTheme="majorHAnsi" w:hAnsiTheme="majorHAnsi"/>
          <w:sz w:val="24"/>
          <w:szCs w:val="24"/>
        </w:rPr>
        <w:t xml:space="preserve"> pametnog i uključivoga razvoja.</w:t>
      </w:r>
      <w:r w:rsidR="001957B2" w:rsidRPr="000E5525">
        <w:rPr>
          <w:rFonts w:asciiTheme="majorHAnsi" w:hAnsiTheme="majorHAnsi"/>
          <w:sz w:val="24"/>
          <w:szCs w:val="24"/>
        </w:rPr>
        <w:t xml:space="preserve"> </w:t>
      </w:r>
      <w:r w:rsidR="00B35BD5" w:rsidRPr="000E5525">
        <w:rPr>
          <w:rFonts w:asciiTheme="majorHAnsi" w:hAnsiTheme="majorHAnsi"/>
          <w:sz w:val="24"/>
          <w:szCs w:val="24"/>
        </w:rPr>
        <w:t>G</w:t>
      </w:r>
      <w:r w:rsidRPr="000E5525">
        <w:rPr>
          <w:rFonts w:asciiTheme="majorHAnsi" w:hAnsiTheme="majorHAnsi"/>
          <w:sz w:val="24"/>
          <w:szCs w:val="24"/>
        </w:rPr>
        <w:t xml:space="preserve">lavne razvojne potrebe i razvojni izazovi iz djelokruga samoupravne jedinice na koje se namjerava odgovoriti u mandatnom razdoblju odnose se na sljedeće investicije: </w:t>
      </w:r>
      <w:r w:rsidR="00C225DA">
        <w:rPr>
          <w:rFonts w:asciiTheme="majorHAnsi" w:hAnsiTheme="majorHAnsi"/>
          <w:sz w:val="24"/>
          <w:szCs w:val="24"/>
        </w:rPr>
        <w:t xml:space="preserve">ulaganje u unaprjeđenje </w:t>
      </w:r>
      <w:r w:rsidR="00C225DA" w:rsidRPr="00C225DA">
        <w:rPr>
          <w:rFonts w:asciiTheme="majorHAnsi" w:hAnsiTheme="majorHAnsi"/>
          <w:sz w:val="24"/>
          <w:szCs w:val="24"/>
        </w:rPr>
        <w:t>ljudskih i materijalnih kapaciteta za predškolske i školske ustanove</w:t>
      </w:r>
      <w:r w:rsidR="00C225DA">
        <w:rPr>
          <w:rFonts w:asciiTheme="majorHAnsi" w:hAnsiTheme="majorHAnsi"/>
          <w:sz w:val="24"/>
          <w:szCs w:val="24"/>
        </w:rPr>
        <w:t xml:space="preserve"> </w:t>
      </w:r>
      <w:r w:rsidR="00172597">
        <w:rPr>
          <w:rFonts w:asciiTheme="majorHAnsi" w:hAnsiTheme="majorHAnsi"/>
          <w:sz w:val="24"/>
          <w:szCs w:val="24"/>
        </w:rPr>
        <w:t>te</w:t>
      </w:r>
      <w:r w:rsidR="00C225DA">
        <w:rPr>
          <w:rFonts w:asciiTheme="majorHAnsi" w:hAnsiTheme="majorHAnsi"/>
          <w:sz w:val="24"/>
          <w:szCs w:val="24"/>
        </w:rPr>
        <w:t xml:space="preserve"> obrazovanje, ulaganje u unaprjeđenje </w:t>
      </w:r>
      <w:r w:rsidR="00C225DA" w:rsidRPr="00C225DA">
        <w:rPr>
          <w:rFonts w:asciiTheme="majorHAnsi" w:hAnsiTheme="majorHAnsi"/>
          <w:sz w:val="24"/>
          <w:szCs w:val="24"/>
        </w:rPr>
        <w:t>zdravstven</w:t>
      </w:r>
      <w:r w:rsidR="00C225DA">
        <w:rPr>
          <w:rFonts w:asciiTheme="majorHAnsi" w:hAnsiTheme="majorHAnsi"/>
          <w:sz w:val="24"/>
          <w:szCs w:val="24"/>
        </w:rPr>
        <w:t>e</w:t>
      </w:r>
      <w:r w:rsidR="00C225DA" w:rsidRPr="00C225DA">
        <w:rPr>
          <w:rFonts w:asciiTheme="majorHAnsi" w:hAnsiTheme="majorHAnsi"/>
          <w:sz w:val="24"/>
          <w:szCs w:val="24"/>
        </w:rPr>
        <w:t xml:space="preserve"> i socijaln</w:t>
      </w:r>
      <w:r w:rsidR="00C225DA">
        <w:rPr>
          <w:rFonts w:asciiTheme="majorHAnsi" w:hAnsiTheme="majorHAnsi"/>
          <w:sz w:val="24"/>
          <w:szCs w:val="24"/>
        </w:rPr>
        <w:t>e</w:t>
      </w:r>
      <w:r w:rsidR="00C225DA" w:rsidRPr="00C225DA">
        <w:rPr>
          <w:rFonts w:asciiTheme="majorHAnsi" w:hAnsiTheme="majorHAnsi"/>
          <w:sz w:val="24"/>
          <w:szCs w:val="24"/>
        </w:rPr>
        <w:t xml:space="preserve"> skrb</w:t>
      </w:r>
      <w:r w:rsidR="00C225DA">
        <w:rPr>
          <w:rFonts w:asciiTheme="majorHAnsi" w:hAnsiTheme="majorHAnsi"/>
          <w:sz w:val="24"/>
          <w:szCs w:val="24"/>
        </w:rPr>
        <w:t xml:space="preserve">i, ulaganja u unaprjeđenje </w:t>
      </w:r>
      <w:r w:rsidR="00C225DA" w:rsidRPr="00C225DA">
        <w:rPr>
          <w:rFonts w:asciiTheme="majorHAnsi" w:hAnsiTheme="majorHAnsi"/>
          <w:sz w:val="24"/>
          <w:szCs w:val="24"/>
        </w:rPr>
        <w:t>civiln</w:t>
      </w:r>
      <w:r w:rsidR="00C225DA">
        <w:rPr>
          <w:rFonts w:asciiTheme="majorHAnsi" w:hAnsiTheme="majorHAnsi"/>
          <w:sz w:val="24"/>
          <w:szCs w:val="24"/>
        </w:rPr>
        <w:t>e</w:t>
      </w:r>
      <w:r w:rsidR="00C225DA" w:rsidRPr="00C225DA">
        <w:rPr>
          <w:rFonts w:asciiTheme="majorHAnsi" w:hAnsiTheme="majorHAnsi"/>
          <w:sz w:val="24"/>
          <w:szCs w:val="24"/>
        </w:rPr>
        <w:t xml:space="preserve"> zaštit</w:t>
      </w:r>
      <w:r w:rsidR="00C225DA">
        <w:rPr>
          <w:rFonts w:asciiTheme="majorHAnsi" w:hAnsiTheme="majorHAnsi"/>
          <w:sz w:val="24"/>
          <w:szCs w:val="24"/>
        </w:rPr>
        <w:t xml:space="preserve">e, ulaganja u sportsku infrastrukturu, </w:t>
      </w:r>
      <w:r w:rsidR="00C225DA" w:rsidRPr="00CD0041">
        <w:rPr>
          <w:rFonts w:asciiTheme="majorHAnsi" w:hAnsiTheme="majorHAnsi"/>
          <w:sz w:val="24"/>
          <w:szCs w:val="24"/>
        </w:rPr>
        <w:t xml:space="preserve">ulaganja u domove kulture, jačanje gospodarstva (gospodarska zona Brezje) </w:t>
      </w:r>
      <w:r w:rsidR="00172597" w:rsidRPr="00CD0041">
        <w:rPr>
          <w:rFonts w:asciiTheme="majorHAnsi" w:hAnsiTheme="majorHAnsi"/>
          <w:sz w:val="24"/>
          <w:szCs w:val="24"/>
        </w:rPr>
        <w:t>i turizma (centra za posjetitelje - Jurovski centar)</w:t>
      </w:r>
      <w:r w:rsidR="00CD0041" w:rsidRPr="00CD0041">
        <w:rPr>
          <w:rFonts w:asciiTheme="majorHAnsi" w:hAnsiTheme="majorHAnsi"/>
          <w:sz w:val="24"/>
          <w:szCs w:val="24"/>
        </w:rPr>
        <w:t xml:space="preserve">, modernizacija javne rasvjete te poboljšanje prometne infrastrukture - uređenje cesta i  pješačko biciklističkih staza. </w:t>
      </w:r>
      <w:r w:rsidRPr="00CD0041">
        <w:rPr>
          <w:rFonts w:asciiTheme="majorHAnsi" w:hAnsiTheme="majorHAnsi"/>
          <w:sz w:val="24"/>
          <w:szCs w:val="24"/>
        </w:rPr>
        <w:t>U nastavku slijedi kratka analiza</w:t>
      </w:r>
      <w:r w:rsidR="00A57045" w:rsidRPr="00CD0041">
        <w:rPr>
          <w:rFonts w:asciiTheme="majorHAnsi" w:hAnsiTheme="majorHAnsi"/>
          <w:sz w:val="24"/>
          <w:szCs w:val="24"/>
        </w:rPr>
        <w:t xml:space="preserve"> spomenutih investicija</w:t>
      </w:r>
      <w:r w:rsidRPr="00CD0041">
        <w:rPr>
          <w:rFonts w:asciiTheme="majorHAnsi" w:hAnsiTheme="majorHAnsi"/>
          <w:sz w:val="24"/>
          <w:szCs w:val="24"/>
        </w:rPr>
        <w:t xml:space="preserve"> po sektorima: turizam, sport i rekreacija, odgoj i obrazovanje (predškolski odgoj), kultura, gospodarstvo (gospodarska zona), komunalna infrastruktura (ceste i javna rasvjeta).</w:t>
      </w:r>
      <w:r w:rsidRPr="000E5525">
        <w:rPr>
          <w:rFonts w:asciiTheme="majorHAnsi" w:hAnsiTheme="majorHAnsi"/>
          <w:sz w:val="24"/>
          <w:szCs w:val="24"/>
        </w:rPr>
        <w:t xml:space="preserve"> </w:t>
      </w:r>
    </w:p>
    <w:p w14:paraId="30683FAF" w14:textId="77777777" w:rsidR="00C43B2F" w:rsidRDefault="00C43B2F" w:rsidP="0068528A">
      <w:pPr>
        <w:spacing w:after="0" w:line="360" w:lineRule="auto"/>
        <w:jc w:val="both"/>
        <w:rPr>
          <w:rFonts w:asciiTheme="majorHAnsi" w:hAnsiTheme="majorHAnsi"/>
          <w:b/>
          <w:color w:val="31849B" w:themeColor="accent5" w:themeShade="BF"/>
          <w:sz w:val="24"/>
          <w:szCs w:val="24"/>
        </w:rPr>
      </w:pPr>
    </w:p>
    <w:p w14:paraId="50898737" w14:textId="23E1ED56" w:rsidR="005757B2" w:rsidRPr="0068528A" w:rsidRDefault="005757B2" w:rsidP="0068528A">
      <w:pPr>
        <w:pStyle w:val="Naslov1"/>
        <w:numPr>
          <w:ilvl w:val="0"/>
          <w:numId w:val="6"/>
        </w:numPr>
        <w:spacing w:line="360" w:lineRule="auto"/>
        <w:rPr>
          <w:rStyle w:val="Neupadljivoisticanje"/>
          <w:b/>
          <w:iCs w:val="0"/>
          <w:color w:val="365F91" w:themeColor="accent1" w:themeShade="BF"/>
        </w:rPr>
      </w:pPr>
      <w:bookmarkStart w:id="4" w:name="_Toc221536417"/>
      <w:r w:rsidRPr="0068528A">
        <w:rPr>
          <w:rStyle w:val="Neupadljivoisticanje"/>
          <w:b/>
          <w:iCs w:val="0"/>
          <w:color w:val="365F91" w:themeColor="accent1" w:themeShade="BF"/>
        </w:rPr>
        <w:t>IZVJEŠĆE O NAPRETKU U PROVEDBI MJERA</w:t>
      </w:r>
      <w:bookmarkEnd w:id="4"/>
    </w:p>
    <w:p w14:paraId="4715212C" w14:textId="77777777" w:rsidR="00A838FF" w:rsidRPr="000E5525" w:rsidRDefault="00A838FF" w:rsidP="0068528A">
      <w:pPr>
        <w:pStyle w:val="Odlomakpopisa"/>
        <w:spacing w:after="0" w:line="360" w:lineRule="auto"/>
        <w:rPr>
          <w:rFonts w:asciiTheme="majorHAnsi" w:hAnsiTheme="majorHAnsi" w:cs="Times New Roman"/>
          <w:b/>
          <w:sz w:val="24"/>
          <w:szCs w:val="24"/>
        </w:rPr>
      </w:pPr>
    </w:p>
    <w:p w14:paraId="18F1369C" w14:textId="1C1247BF" w:rsidR="009005F8" w:rsidRPr="000E5525" w:rsidRDefault="009005F8" w:rsidP="0068528A">
      <w:pPr>
        <w:spacing w:after="0" w:line="360" w:lineRule="auto"/>
        <w:jc w:val="both"/>
        <w:rPr>
          <w:rFonts w:asciiTheme="majorHAnsi" w:hAnsiTheme="majorHAnsi"/>
          <w:sz w:val="24"/>
          <w:szCs w:val="24"/>
        </w:rPr>
      </w:pPr>
      <w:r w:rsidRPr="00C323C1">
        <w:rPr>
          <w:rFonts w:asciiTheme="majorHAnsi" w:eastAsia="Calibri" w:hAnsiTheme="majorHAnsi" w:cs="Times New Roman"/>
          <w:sz w:val="24"/>
          <w:szCs w:val="24"/>
        </w:rPr>
        <w:t xml:space="preserve">Uspješnost provedbe Provedbenog programa Općine Sveti Juraj na Bregu prati se u </w:t>
      </w:r>
      <w:r w:rsidRPr="00C323C1">
        <w:rPr>
          <w:rFonts w:asciiTheme="majorHAnsi" w:hAnsiTheme="majorHAnsi"/>
          <w:sz w:val="24"/>
          <w:szCs w:val="24"/>
        </w:rPr>
        <w:t xml:space="preserve">okviru </w:t>
      </w:r>
      <w:r w:rsidRPr="00C323C1">
        <w:rPr>
          <w:rFonts w:asciiTheme="majorHAnsi" w:hAnsiTheme="majorHAnsi"/>
          <w:b/>
          <w:bCs/>
          <w:sz w:val="24"/>
          <w:szCs w:val="24"/>
        </w:rPr>
        <w:t>1</w:t>
      </w:r>
      <w:r w:rsidR="00B70850" w:rsidRPr="00C323C1">
        <w:rPr>
          <w:rFonts w:asciiTheme="majorHAnsi" w:hAnsiTheme="majorHAnsi"/>
          <w:b/>
          <w:bCs/>
          <w:sz w:val="24"/>
          <w:szCs w:val="24"/>
        </w:rPr>
        <w:t>4</w:t>
      </w:r>
      <w:r w:rsidRPr="00C323C1">
        <w:rPr>
          <w:rFonts w:asciiTheme="majorHAnsi" w:hAnsiTheme="majorHAnsi"/>
          <w:b/>
          <w:bCs/>
          <w:sz w:val="24"/>
          <w:szCs w:val="24"/>
        </w:rPr>
        <w:t xml:space="preserve"> mjera</w:t>
      </w:r>
      <w:r w:rsidR="000A22E9" w:rsidRPr="00C323C1">
        <w:rPr>
          <w:rFonts w:asciiTheme="majorHAnsi" w:hAnsiTheme="majorHAnsi"/>
          <w:b/>
          <w:bCs/>
          <w:sz w:val="24"/>
          <w:szCs w:val="24"/>
        </w:rPr>
        <w:t xml:space="preserve"> i  </w:t>
      </w:r>
      <w:r w:rsidR="00D96896" w:rsidRPr="00C323C1">
        <w:rPr>
          <w:rFonts w:asciiTheme="majorHAnsi" w:hAnsiTheme="majorHAnsi"/>
          <w:b/>
          <w:bCs/>
          <w:sz w:val="24"/>
          <w:szCs w:val="24"/>
        </w:rPr>
        <w:t xml:space="preserve">21 </w:t>
      </w:r>
      <w:r w:rsidRPr="00C323C1">
        <w:rPr>
          <w:rFonts w:asciiTheme="majorHAnsi" w:hAnsiTheme="majorHAnsi"/>
          <w:b/>
          <w:bCs/>
          <w:sz w:val="24"/>
          <w:szCs w:val="24"/>
        </w:rPr>
        <w:t>ključn</w:t>
      </w:r>
      <w:r w:rsidR="000A22E9" w:rsidRPr="00C323C1">
        <w:rPr>
          <w:rFonts w:asciiTheme="majorHAnsi" w:hAnsiTheme="majorHAnsi"/>
          <w:b/>
          <w:bCs/>
          <w:sz w:val="24"/>
          <w:szCs w:val="24"/>
        </w:rPr>
        <w:t>ih</w:t>
      </w:r>
      <w:r w:rsidRPr="000E5525">
        <w:rPr>
          <w:rFonts w:asciiTheme="majorHAnsi" w:hAnsiTheme="majorHAnsi"/>
          <w:b/>
          <w:bCs/>
          <w:sz w:val="24"/>
          <w:szCs w:val="24"/>
        </w:rPr>
        <w:t xml:space="preserve"> aktivnosti</w:t>
      </w:r>
      <w:r w:rsidRPr="000E5525">
        <w:rPr>
          <w:rFonts w:asciiTheme="majorHAnsi" w:hAnsiTheme="majorHAnsi"/>
          <w:sz w:val="24"/>
          <w:szCs w:val="24"/>
        </w:rPr>
        <w:t xml:space="preserve"> </w:t>
      </w:r>
      <w:r w:rsidR="005B090E" w:rsidRPr="000E5525">
        <w:rPr>
          <w:rFonts w:asciiTheme="majorHAnsi" w:hAnsiTheme="majorHAnsi"/>
          <w:sz w:val="24"/>
          <w:szCs w:val="24"/>
        </w:rPr>
        <w:t xml:space="preserve">te </w:t>
      </w:r>
      <w:r w:rsidR="005B090E" w:rsidRPr="000E5525">
        <w:rPr>
          <w:rFonts w:asciiTheme="majorHAnsi" w:hAnsiTheme="majorHAnsi"/>
          <w:b/>
          <w:sz w:val="24"/>
          <w:szCs w:val="24"/>
        </w:rPr>
        <w:t>14 pokazatelja rezultata</w:t>
      </w:r>
      <w:r w:rsidR="005B090E" w:rsidRPr="000E5525">
        <w:rPr>
          <w:rFonts w:asciiTheme="majorHAnsi" w:hAnsiTheme="majorHAnsi"/>
          <w:sz w:val="24"/>
          <w:szCs w:val="24"/>
        </w:rPr>
        <w:t xml:space="preserve"> </w:t>
      </w:r>
      <w:r w:rsidRPr="000E5525">
        <w:rPr>
          <w:rFonts w:asciiTheme="majorHAnsi" w:hAnsiTheme="majorHAnsi"/>
          <w:sz w:val="24"/>
          <w:szCs w:val="24"/>
        </w:rPr>
        <w:t xml:space="preserve">kojima će Općina Sveti Juraj na Bregu pratiti uspješnost strateškog planiranja ostvarenih ciljeva i rezultata Provedbenog programa Općine Sveti Juraj na Bregu do 2025. Aktivnosti će se mjeriti definiranim pokazateljima, utvrđenim polazišnim i ciljnim vrijednostima za ključne aktivnosti.  </w:t>
      </w:r>
    </w:p>
    <w:p w14:paraId="0215612F" w14:textId="79761C1D" w:rsidR="00C323C1" w:rsidRDefault="00DA30BE" w:rsidP="0068528A">
      <w:pPr>
        <w:spacing w:after="0" w:line="360" w:lineRule="auto"/>
        <w:jc w:val="both"/>
        <w:rPr>
          <w:rFonts w:asciiTheme="majorHAnsi" w:hAnsiTheme="majorHAnsi" w:cstheme="minorHAnsi"/>
          <w:b/>
          <w:bCs/>
          <w:sz w:val="24"/>
          <w:szCs w:val="24"/>
        </w:rPr>
      </w:pPr>
      <w:r w:rsidRPr="00CD4580">
        <w:rPr>
          <w:rFonts w:asciiTheme="majorHAnsi" w:hAnsiTheme="majorHAnsi" w:cstheme="minorHAnsi"/>
          <w:b/>
          <w:bCs/>
          <w:sz w:val="24"/>
          <w:szCs w:val="24"/>
        </w:rPr>
        <w:t>Od 14</w:t>
      </w:r>
      <w:r w:rsidR="00491A7C" w:rsidRPr="00CD4580">
        <w:rPr>
          <w:rFonts w:asciiTheme="majorHAnsi" w:hAnsiTheme="majorHAnsi" w:cstheme="minorHAnsi"/>
          <w:b/>
          <w:bCs/>
          <w:sz w:val="24"/>
          <w:szCs w:val="24"/>
        </w:rPr>
        <w:t xml:space="preserve"> pokazatelja rezultata mjera provedbenog programa </w:t>
      </w:r>
      <w:r w:rsidR="000E5525" w:rsidRPr="00CD4580">
        <w:rPr>
          <w:rFonts w:asciiTheme="majorHAnsi" w:hAnsiTheme="majorHAnsi" w:cstheme="minorHAnsi"/>
          <w:b/>
          <w:bCs/>
          <w:sz w:val="24"/>
          <w:szCs w:val="24"/>
        </w:rPr>
        <w:t>O</w:t>
      </w:r>
      <w:r w:rsidR="00491A7C" w:rsidRPr="00CD4580">
        <w:rPr>
          <w:rFonts w:asciiTheme="majorHAnsi" w:hAnsiTheme="majorHAnsi" w:cstheme="minorHAnsi"/>
          <w:b/>
          <w:bCs/>
          <w:sz w:val="24"/>
          <w:szCs w:val="24"/>
        </w:rPr>
        <w:t xml:space="preserve">pćine </w:t>
      </w:r>
      <w:r w:rsidRPr="00CD4580">
        <w:rPr>
          <w:rFonts w:asciiTheme="majorHAnsi" w:hAnsiTheme="majorHAnsi" w:cstheme="minorHAnsi"/>
          <w:b/>
          <w:bCs/>
          <w:sz w:val="24"/>
          <w:szCs w:val="24"/>
        </w:rPr>
        <w:t>Sveti Juraj na Bregu</w:t>
      </w:r>
      <w:r w:rsidR="000E5525" w:rsidRPr="00CD4580">
        <w:rPr>
          <w:rFonts w:asciiTheme="majorHAnsi" w:hAnsiTheme="majorHAnsi" w:cstheme="minorHAnsi"/>
          <w:b/>
          <w:bCs/>
          <w:sz w:val="24"/>
          <w:szCs w:val="24"/>
        </w:rPr>
        <w:t xml:space="preserve">, </w:t>
      </w:r>
      <w:r w:rsidR="00C323C1">
        <w:rPr>
          <w:rFonts w:asciiTheme="majorHAnsi" w:hAnsiTheme="majorHAnsi" w:cstheme="minorHAnsi"/>
          <w:b/>
          <w:bCs/>
          <w:sz w:val="24"/>
          <w:szCs w:val="24"/>
        </w:rPr>
        <w:t xml:space="preserve">11 </w:t>
      </w:r>
      <w:r w:rsidR="000E5525" w:rsidRPr="00CD4580">
        <w:rPr>
          <w:rFonts w:asciiTheme="majorHAnsi" w:hAnsiTheme="majorHAnsi" w:cstheme="minorHAnsi"/>
          <w:b/>
          <w:bCs/>
          <w:sz w:val="24"/>
          <w:szCs w:val="24"/>
        </w:rPr>
        <w:t xml:space="preserve">mjera ima status „Provedeno“, </w:t>
      </w:r>
      <w:r w:rsidR="00C323C1">
        <w:rPr>
          <w:rFonts w:asciiTheme="majorHAnsi" w:hAnsiTheme="majorHAnsi" w:cstheme="minorHAnsi"/>
          <w:b/>
          <w:bCs/>
          <w:sz w:val="24"/>
          <w:szCs w:val="24"/>
        </w:rPr>
        <w:t xml:space="preserve">dok </w:t>
      </w:r>
      <w:r w:rsidR="00E75E85">
        <w:rPr>
          <w:rFonts w:asciiTheme="majorHAnsi" w:hAnsiTheme="majorHAnsi" w:cstheme="minorHAnsi"/>
          <w:b/>
          <w:bCs/>
          <w:sz w:val="24"/>
          <w:szCs w:val="24"/>
        </w:rPr>
        <w:t>3</w:t>
      </w:r>
      <w:r w:rsidR="00BA5D66" w:rsidRPr="00CD4580">
        <w:rPr>
          <w:rFonts w:asciiTheme="majorHAnsi" w:hAnsiTheme="majorHAnsi" w:cstheme="minorHAnsi"/>
          <w:b/>
          <w:bCs/>
          <w:sz w:val="24"/>
          <w:szCs w:val="24"/>
        </w:rPr>
        <w:t xml:space="preserve"> </w:t>
      </w:r>
      <w:r w:rsidR="000E5525" w:rsidRPr="00CD4580">
        <w:rPr>
          <w:rFonts w:asciiTheme="majorHAnsi" w:hAnsiTheme="majorHAnsi" w:cstheme="minorHAnsi"/>
          <w:b/>
          <w:bCs/>
          <w:sz w:val="24"/>
          <w:szCs w:val="24"/>
        </w:rPr>
        <w:t>mjere imaju status „Nisu pokrenute“</w:t>
      </w:r>
      <w:r w:rsidR="00C323C1">
        <w:rPr>
          <w:rFonts w:asciiTheme="majorHAnsi" w:hAnsiTheme="majorHAnsi" w:cstheme="minorHAnsi"/>
          <w:b/>
          <w:bCs/>
          <w:sz w:val="24"/>
          <w:szCs w:val="24"/>
        </w:rPr>
        <w:t>.</w:t>
      </w:r>
    </w:p>
    <w:p w14:paraId="17B80557" w14:textId="09B19175" w:rsidR="00F771AB" w:rsidRPr="000E5525" w:rsidRDefault="00E75E85" w:rsidP="0068528A">
      <w:pPr>
        <w:spacing w:after="0" w:line="360" w:lineRule="auto"/>
        <w:jc w:val="both"/>
        <w:rPr>
          <w:rFonts w:asciiTheme="majorHAnsi" w:hAnsiTheme="majorHAnsi" w:cstheme="minorHAnsi"/>
          <w:sz w:val="24"/>
          <w:szCs w:val="24"/>
        </w:rPr>
      </w:pPr>
      <w:r w:rsidRPr="000E5525">
        <w:rPr>
          <w:rFonts w:asciiTheme="majorHAnsi" w:hAnsiTheme="majorHAnsi" w:cstheme="minorHAnsi"/>
          <w:sz w:val="24"/>
          <w:szCs w:val="24"/>
        </w:rPr>
        <w:t xml:space="preserve">Ukupno je tijekom izvještajnog razdoblja </w:t>
      </w:r>
      <w:r w:rsidRPr="00C43B2F">
        <w:rPr>
          <w:rFonts w:asciiTheme="majorHAnsi" w:hAnsiTheme="majorHAnsi" w:cstheme="minorHAnsi"/>
          <w:sz w:val="24"/>
          <w:szCs w:val="24"/>
        </w:rPr>
        <w:t>utrošeno</w:t>
      </w:r>
      <w:r w:rsidRPr="00C43B2F">
        <w:rPr>
          <w:rFonts w:asciiTheme="majorHAnsi" w:eastAsia="Times New Roman" w:hAnsiTheme="majorHAnsi" w:cs="Times New Roman"/>
          <w:sz w:val="24"/>
          <w:szCs w:val="24"/>
          <w:lang w:eastAsia="hr-HR"/>
        </w:rPr>
        <w:t xml:space="preserve"> </w:t>
      </w:r>
      <w:r w:rsidR="00F771AB">
        <w:rPr>
          <w:rFonts w:asciiTheme="majorHAnsi" w:eastAsia="Times New Roman" w:hAnsiTheme="majorHAnsi" w:cs="Times New Roman"/>
          <w:b/>
          <w:sz w:val="24"/>
          <w:szCs w:val="24"/>
          <w:lang w:eastAsia="hr-HR"/>
        </w:rPr>
        <w:t>2.336.239,00</w:t>
      </w:r>
      <w:r w:rsidRPr="000E5525">
        <w:rPr>
          <w:rFonts w:asciiTheme="majorHAnsi" w:hAnsiTheme="majorHAnsi" w:cstheme="minorHAnsi"/>
          <w:sz w:val="24"/>
          <w:szCs w:val="24"/>
        </w:rPr>
        <w:t xml:space="preserve"> proračunskih sredstava.</w:t>
      </w:r>
    </w:p>
    <w:p w14:paraId="67356AA5" w14:textId="1BF792C2" w:rsidR="000E5525" w:rsidRDefault="000E5525" w:rsidP="0068528A">
      <w:pPr>
        <w:spacing w:after="0" w:line="360" w:lineRule="auto"/>
        <w:jc w:val="both"/>
        <w:rPr>
          <w:rFonts w:asciiTheme="majorHAnsi" w:hAnsiTheme="majorHAnsi"/>
          <w:i/>
          <w:sz w:val="24"/>
          <w:szCs w:val="24"/>
        </w:rPr>
      </w:pPr>
      <w:r w:rsidRPr="000E5525">
        <w:rPr>
          <w:rFonts w:asciiTheme="majorHAnsi" w:hAnsiTheme="majorHAnsi"/>
          <w:sz w:val="24"/>
          <w:szCs w:val="24"/>
        </w:rPr>
        <w:t xml:space="preserve">Detaljan pregled mjera, ključnih aktivnosti, financijskog pregleda i pokazatelja se nalazi u </w:t>
      </w:r>
      <w:r w:rsidRPr="000E5525">
        <w:rPr>
          <w:rFonts w:asciiTheme="majorHAnsi" w:hAnsiTheme="majorHAnsi"/>
          <w:i/>
          <w:sz w:val="24"/>
          <w:szCs w:val="24"/>
        </w:rPr>
        <w:t xml:space="preserve">Prilogu 1. </w:t>
      </w:r>
      <w:r>
        <w:rPr>
          <w:rFonts w:asciiTheme="majorHAnsi" w:hAnsiTheme="majorHAnsi"/>
          <w:i/>
          <w:sz w:val="24"/>
          <w:szCs w:val="24"/>
        </w:rPr>
        <w:t xml:space="preserve">Tablični predložak za izradu godišnjeg izvješća o provedbi Provedbenog programa Općine Sveti Juraj na Bregu. </w:t>
      </w:r>
    </w:p>
    <w:p w14:paraId="3C674A1C" w14:textId="6DDF6558" w:rsidR="000E5525" w:rsidRPr="000E5525" w:rsidRDefault="000E5525" w:rsidP="0068528A">
      <w:pPr>
        <w:spacing w:after="0" w:line="360" w:lineRule="auto"/>
        <w:rPr>
          <w:rFonts w:asciiTheme="majorHAnsi" w:hAnsiTheme="majorHAnsi" w:cstheme="minorHAnsi"/>
          <w:sz w:val="24"/>
          <w:szCs w:val="24"/>
        </w:rPr>
      </w:pPr>
    </w:p>
    <w:p w14:paraId="523BB7A8" w14:textId="7782997F" w:rsidR="001F2B50" w:rsidRPr="0068528A" w:rsidRDefault="005757B2" w:rsidP="0068528A">
      <w:pPr>
        <w:pStyle w:val="Naslov1"/>
        <w:numPr>
          <w:ilvl w:val="0"/>
          <w:numId w:val="6"/>
        </w:numPr>
        <w:spacing w:line="360" w:lineRule="auto"/>
        <w:rPr>
          <w:rStyle w:val="Neupadljivoisticanje"/>
          <w:b/>
          <w:iCs w:val="0"/>
          <w:color w:val="365F91" w:themeColor="accent1" w:themeShade="BF"/>
        </w:rPr>
      </w:pPr>
      <w:bookmarkStart w:id="5" w:name="_Toc221536418"/>
      <w:r w:rsidRPr="0068528A">
        <w:rPr>
          <w:rStyle w:val="Neupadljivoisticanje"/>
          <w:b/>
          <w:iCs w:val="0"/>
          <w:color w:val="365F91" w:themeColor="accent1" w:themeShade="BF"/>
        </w:rPr>
        <w:lastRenderedPageBreak/>
        <w:t>DOPRINOS OSTVARENJU CILJEVA JAVNIH POLITIKA</w:t>
      </w:r>
      <w:bookmarkEnd w:id="5"/>
    </w:p>
    <w:p w14:paraId="00550D72" w14:textId="77777777" w:rsidR="001F2B50" w:rsidRPr="000E5525" w:rsidRDefault="001F2B50" w:rsidP="0068528A">
      <w:pPr>
        <w:pStyle w:val="Odlomakpopisa"/>
        <w:spacing w:after="0" w:line="360" w:lineRule="auto"/>
        <w:outlineLvl w:val="2"/>
        <w:rPr>
          <w:rFonts w:asciiTheme="majorHAnsi" w:hAnsiTheme="majorHAnsi" w:cs="Times New Roman"/>
          <w:b/>
          <w:sz w:val="24"/>
          <w:szCs w:val="24"/>
        </w:rPr>
      </w:pPr>
    </w:p>
    <w:p w14:paraId="1B33780D" w14:textId="594651A3" w:rsidR="005A1C05" w:rsidRDefault="00E53D3F" w:rsidP="0068528A">
      <w:pPr>
        <w:spacing w:after="0" w:line="360" w:lineRule="auto"/>
        <w:jc w:val="both"/>
        <w:rPr>
          <w:rFonts w:asciiTheme="majorHAnsi" w:eastAsia="Calibri" w:hAnsiTheme="majorHAnsi" w:cs="Times New Roman"/>
          <w:b/>
          <w:sz w:val="24"/>
          <w:szCs w:val="24"/>
        </w:rPr>
      </w:pPr>
      <w:r w:rsidRPr="000E5525">
        <w:rPr>
          <w:rFonts w:asciiTheme="majorHAnsi" w:eastAsia="Calibri" w:hAnsiTheme="majorHAnsi" w:cs="Times New Roman"/>
          <w:sz w:val="24"/>
          <w:szCs w:val="24"/>
        </w:rPr>
        <w:t xml:space="preserve">Općina Sveti Juraj na Bregu je definirala prioritetna područja djelovanja u razdoblju do 2027. godine sukladno </w:t>
      </w:r>
      <w:r w:rsidR="00161D4A" w:rsidRPr="000E5525">
        <w:rPr>
          <w:rFonts w:asciiTheme="majorHAnsi" w:eastAsia="Calibri" w:hAnsiTheme="majorHAnsi" w:cs="Times New Roman"/>
          <w:sz w:val="24"/>
          <w:szCs w:val="24"/>
        </w:rPr>
        <w:t>Planu razvoja Međimurske županije do 2027. godine.</w:t>
      </w:r>
      <w:r w:rsidR="000E5525">
        <w:rPr>
          <w:rFonts w:asciiTheme="majorHAnsi" w:eastAsia="Calibri" w:hAnsiTheme="majorHAnsi" w:cs="Times New Roman"/>
          <w:sz w:val="24"/>
          <w:szCs w:val="24"/>
        </w:rPr>
        <w:t xml:space="preserve"> </w:t>
      </w:r>
      <w:r w:rsidRPr="000E5525">
        <w:rPr>
          <w:rFonts w:asciiTheme="majorHAnsi" w:eastAsia="Calibri" w:hAnsiTheme="majorHAnsi" w:cs="Times New Roman"/>
          <w:sz w:val="24"/>
          <w:szCs w:val="24"/>
        </w:rPr>
        <w:t xml:space="preserve">Općina Sveti Juraj na Bregu će provedenim aktivnostima kroz četiri godine doprinositi prioritetima </w:t>
      </w:r>
      <w:r w:rsidRPr="000E5525">
        <w:rPr>
          <w:rFonts w:asciiTheme="majorHAnsi" w:eastAsia="Calibri" w:hAnsiTheme="majorHAnsi" w:cs="Times New Roman"/>
          <w:b/>
          <w:sz w:val="24"/>
          <w:szCs w:val="24"/>
        </w:rPr>
        <w:t>1. Održivo gospodarstvo, 2. Zdravo, uključivo i otporno društvo i 3. Zeleno i digitalno Međimurje.</w:t>
      </w:r>
    </w:p>
    <w:p w14:paraId="3A70934D" w14:textId="6AF48285" w:rsidR="005A1C05" w:rsidRPr="000E5525" w:rsidRDefault="005A1C05" w:rsidP="0068528A">
      <w:pPr>
        <w:pStyle w:val="Naslov1"/>
        <w:numPr>
          <w:ilvl w:val="1"/>
          <w:numId w:val="6"/>
        </w:numPr>
        <w:spacing w:line="360" w:lineRule="auto"/>
      </w:pPr>
      <w:bookmarkStart w:id="6" w:name="_Toc221536419"/>
      <w:r>
        <w:rPr>
          <w:rFonts w:eastAsia="Calibri"/>
        </w:rPr>
        <w:t>STATUS PROVEDBE: PROVEDENO</w:t>
      </w:r>
      <w:bookmarkEnd w:id="6"/>
    </w:p>
    <w:p w14:paraId="3C87C788" w14:textId="77777777" w:rsidR="002F3ED1" w:rsidRPr="000E5525" w:rsidRDefault="002F3ED1" w:rsidP="0068528A">
      <w:pPr>
        <w:spacing w:after="0" w:line="360" w:lineRule="auto"/>
        <w:jc w:val="both"/>
        <w:rPr>
          <w:rFonts w:asciiTheme="majorHAnsi" w:hAnsiTheme="majorHAnsi" w:cs="Times New Roman"/>
          <w:color w:val="FF0000"/>
          <w:sz w:val="24"/>
          <w:szCs w:val="24"/>
        </w:rPr>
      </w:pPr>
    </w:p>
    <w:p w14:paraId="213B1FE9" w14:textId="7BC8D679" w:rsidR="002056CD" w:rsidRPr="000E5525" w:rsidRDefault="00496EB1" w:rsidP="0068528A">
      <w:pPr>
        <w:pStyle w:val="Naglaencitat"/>
        <w:spacing w:before="0" w:after="0" w:line="360" w:lineRule="auto"/>
        <w:ind w:left="0"/>
        <w:rPr>
          <w:rFonts w:asciiTheme="majorHAnsi" w:hAnsiTheme="majorHAnsi"/>
          <w:sz w:val="24"/>
          <w:szCs w:val="24"/>
        </w:rPr>
      </w:pPr>
      <w:r w:rsidRPr="000E5525">
        <w:rPr>
          <w:rFonts w:asciiTheme="majorHAnsi" w:hAnsiTheme="majorHAnsi"/>
          <w:sz w:val="24"/>
          <w:szCs w:val="24"/>
        </w:rPr>
        <w:t>PRIORITET 1: ODRŽIVI RAZVOJ</w:t>
      </w:r>
    </w:p>
    <w:p w14:paraId="27D905E2" w14:textId="77777777" w:rsidR="002056CD" w:rsidRPr="000E5525" w:rsidRDefault="002056CD" w:rsidP="0068528A">
      <w:pPr>
        <w:spacing w:after="0" w:line="360" w:lineRule="auto"/>
        <w:ind w:left="720"/>
        <w:contextualSpacing/>
        <w:jc w:val="both"/>
        <w:rPr>
          <w:rFonts w:asciiTheme="majorHAnsi" w:eastAsia="Calibri" w:hAnsiTheme="majorHAnsi" w:cs="Times New Roman"/>
          <w:sz w:val="24"/>
          <w:szCs w:val="24"/>
        </w:rPr>
      </w:pPr>
    </w:p>
    <w:p w14:paraId="4BC364AD" w14:textId="02177F09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Posebni cilj </w:t>
      </w:r>
      <w:r w:rsidR="001C41ED"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1.</w:t>
      </w: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3: Održiv, inovativan i otporan turizam </w:t>
      </w:r>
    </w:p>
    <w:p w14:paraId="21FA15D2" w14:textId="5A711C43" w:rsidR="002056CD" w:rsidRPr="00426F83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Cs/>
          <w:sz w:val="24"/>
          <w:szCs w:val="24"/>
        </w:rPr>
      </w:pPr>
      <w:r w:rsidRPr="00426F83">
        <w:rPr>
          <w:rFonts w:asciiTheme="majorHAnsi" w:eastAsia="Calibri" w:hAnsiTheme="majorHAnsi" w:cs="Times New Roman"/>
          <w:b/>
          <w:iCs/>
          <w:sz w:val="24"/>
          <w:szCs w:val="24"/>
        </w:rPr>
        <w:t>Mjera 1.</w:t>
      </w:r>
      <w:r w:rsidR="001C41ED" w:rsidRPr="00426F83">
        <w:rPr>
          <w:rFonts w:asciiTheme="majorHAnsi" w:eastAsia="Calibri" w:hAnsiTheme="majorHAnsi" w:cs="Times New Roman"/>
          <w:b/>
          <w:iCs/>
          <w:sz w:val="24"/>
          <w:szCs w:val="24"/>
        </w:rPr>
        <w:t>3.1.</w:t>
      </w:r>
      <w:r w:rsidRPr="00426F83">
        <w:rPr>
          <w:rFonts w:asciiTheme="majorHAnsi" w:eastAsia="Calibri" w:hAnsiTheme="majorHAnsi" w:cs="Times New Roman"/>
          <w:b/>
          <w:iCs/>
          <w:sz w:val="24"/>
          <w:szCs w:val="24"/>
        </w:rPr>
        <w:t xml:space="preserve"> Unapređenje postojećih i razvoj novih turističkih proizvoda i usluga vodeći računa o kulturi, zaštiti prirode i kvaliteti života stanovništva</w:t>
      </w:r>
    </w:p>
    <w:p w14:paraId="1223CC05" w14:textId="69BFD404" w:rsidR="002056CD" w:rsidRPr="000E5525" w:rsidRDefault="00426F83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426F8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</w:t>
      </w:r>
      <w:r w:rsidR="002056CD" w:rsidRPr="000E5525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: </w:t>
      </w:r>
      <w:r w:rsidRPr="00426F8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turističkih noćenja na području općine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- Općina je u izvještajnom razdoblju ostvarila </w:t>
      </w:r>
      <w:r w:rsidR="00F771A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5.653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noćenja što je rezultat kontinuiranog ulaganja Općine u unaprjeđenje turističke infrastrukture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.</w:t>
      </w:r>
    </w:p>
    <w:p w14:paraId="4D98E3DB" w14:textId="77777777" w:rsidR="002056CD" w:rsidRPr="000E5525" w:rsidRDefault="002056CD" w:rsidP="0068528A">
      <w:pPr>
        <w:spacing w:after="0" w:line="360" w:lineRule="auto"/>
        <w:ind w:left="720"/>
        <w:contextualSpacing/>
        <w:jc w:val="both"/>
        <w:rPr>
          <w:rFonts w:asciiTheme="majorHAnsi" w:eastAsia="Calibri" w:hAnsiTheme="majorHAnsi" w:cs="Times New Roman"/>
          <w:sz w:val="24"/>
          <w:szCs w:val="24"/>
        </w:rPr>
      </w:pPr>
    </w:p>
    <w:p w14:paraId="7D6A3966" w14:textId="5DC27797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Posebni cilj </w:t>
      </w:r>
      <w:r w:rsidR="000453AA"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1.</w:t>
      </w: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4: Kvalitetno i suvremeno obrazovanje </w:t>
      </w:r>
    </w:p>
    <w:p w14:paraId="6F290406" w14:textId="0872CE6D" w:rsidR="002056CD" w:rsidRPr="009D1253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Cs/>
          <w:sz w:val="24"/>
          <w:szCs w:val="24"/>
        </w:rPr>
      </w:pPr>
      <w:r w:rsidRPr="009D1253">
        <w:rPr>
          <w:rFonts w:asciiTheme="majorHAnsi" w:eastAsia="Calibri" w:hAnsiTheme="majorHAnsi" w:cs="Times New Roman"/>
          <w:b/>
          <w:iCs/>
          <w:sz w:val="24"/>
          <w:szCs w:val="24"/>
        </w:rPr>
        <w:t xml:space="preserve">Mjera </w:t>
      </w:r>
      <w:r w:rsidR="000453AA" w:rsidRPr="009D1253">
        <w:rPr>
          <w:rFonts w:asciiTheme="majorHAnsi" w:eastAsia="Calibri" w:hAnsiTheme="majorHAnsi" w:cs="Times New Roman"/>
          <w:b/>
          <w:iCs/>
          <w:sz w:val="24"/>
          <w:szCs w:val="24"/>
        </w:rPr>
        <w:t>1.4.</w:t>
      </w:r>
      <w:r w:rsidRPr="009D1253">
        <w:rPr>
          <w:rFonts w:asciiTheme="majorHAnsi" w:eastAsia="Calibri" w:hAnsiTheme="majorHAnsi" w:cs="Times New Roman"/>
          <w:b/>
          <w:iCs/>
          <w:sz w:val="24"/>
          <w:szCs w:val="24"/>
        </w:rPr>
        <w:t>2. Osiguranje odgovarajućih ljudskih i materijalnih kapaciteta za predškolske i školske ustanove</w:t>
      </w:r>
    </w:p>
    <w:p w14:paraId="138C51B1" w14:textId="49FCF44E" w:rsidR="002056CD" w:rsidRDefault="00426F83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426F8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</w:t>
      </w:r>
      <w:r w:rsidRPr="000E5525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:</w:t>
      </w:r>
      <w:r w:rsidR="00284397" w:rsidRPr="000E5525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 w:rsidR="00694358" w:rsidRPr="00694358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rekonstruiranih i dograđenih dječjih vrtića</w:t>
      </w:r>
      <w:r w:rsidR="00694358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– Općina je u izvještajnom razdoblju rekonstruirala i dogradila jedan (1) dječji vrtić u Brezju; </w:t>
      </w:r>
      <w:r w:rsidR="00796D9C" w:rsidRPr="00796D9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djece korisnika vrtića</w:t>
      </w:r>
      <w:r w:rsidR="00796D9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– Općina </w:t>
      </w:r>
      <w:r w:rsidR="00796D9C" w:rsidRPr="00796D9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je u izvještajnom razdoblju </w:t>
      </w:r>
      <w:r w:rsidR="00796D9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za </w:t>
      </w:r>
      <w:r w:rsidR="00694358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205</w:t>
      </w:r>
      <w:r w:rsidR="00796D9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djece </w:t>
      </w:r>
      <w:r w:rsidR="00796D9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osigurala uključivanje u predškolske odgojno i obrazovne programe u vrtiću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.</w:t>
      </w:r>
    </w:p>
    <w:p w14:paraId="112FA7E3" w14:textId="77777777" w:rsidR="00426F83" w:rsidRPr="000E5525" w:rsidRDefault="00426F83" w:rsidP="0068528A">
      <w:pPr>
        <w:spacing w:after="0" w:line="360" w:lineRule="auto"/>
        <w:ind w:left="720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</w:p>
    <w:p w14:paraId="64FFA1E2" w14:textId="24C8D3BC" w:rsidR="002056CD" w:rsidRPr="000E5525" w:rsidRDefault="002056CD" w:rsidP="0068528A">
      <w:pPr>
        <w:pStyle w:val="Naglaencitat"/>
        <w:spacing w:before="0" w:after="0" w:line="360" w:lineRule="auto"/>
        <w:ind w:left="0"/>
        <w:rPr>
          <w:rFonts w:asciiTheme="majorHAnsi" w:hAnsiTheme="majorHAnsi"/>
          <w:sz w:val="24"/>
          <w:szCs w:val="24"/>
        </w:rPr>
      </w:pPr>
      <w:r w:rsidRPr="000E5525">
        <w:rPr>
          <w:rFonts w:asciiTheme="majorHAnsi" w:hAnsiTheme="majorHAnsi"/>
          <w:sz w:val="24"/>
          <w:szCs w:val="24"/>
        </w:rPr>
        <w:t>PRIORITET 2: ZDRAVO, UKLJUČIVO I OTPORNO DRUŠTVO</w:t>
      </w:r>
    </w:p>
    <w:p w14:paraId="514E5A0A" w14:textId="77777777" w:rsidR="00796D9C" w:rsidRDefault="00796D9C" w:rsidP="0068528A">
      <w:pPr>
        <w:spacing w:after="0" w:line="360" w:lineRule="auto"/>
        <w:ind w:left="720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</w:p>
    <w:p w14:paraId="3DF2401B" w14:textId="026E01F9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Posebni cilj </w:t>
      </w:r>
      <w:r w:rsidR="000453AA"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2.</w:t>
      </w: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5: Učinkovita i dostupna zdravstvena i socijalna skrb</w:t>
      </w:r>
    </w:p>
    <w:p w14:paraId="11921FF5" w14:textId="7A5A08C9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i/>
          <w:sz w:val="24"/>
          <w:szCs w:val="24"/>
        </w:rPr>
      </w:pP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Mjera</w:t>
      </w:r>
      <w:r w:rsidR="009D1253" w:rsidRPr="009D1253">
        <w:rPr>
          <w:rFonts w:asciiTheme="majorHAnsi" w:eastAsia="Calibri" w:hAnsiTheme="majorHAnsi" w:cs="Times New Roman"/>
          <w:b/>
          <w:i/>
          <w:sz w:val="24"/>
          <w:szCs w:val="24"/>
        </w:rPr>
        <w:t xml:space="preserve"> 2.5.3. Unaprjeđenje kvalitete socijalnih usluga</w:t>
      </w:r>
    </w:p>
    <w:p w14:paraId="2DE0ACCF" w14:textId="3E7FB7DA" w:rsidR="002056CD" w:rsidRPr="000E5525" w:rsidRDefault="009D1253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9D125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lastRenderedPageBreak/>
        <w:t>Pokazatelj rezultata mjere</w:t>
      </w:r>
      <w:r w:rsidR="002056CD" w:rsidRPr="009D125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: </w:t>
      </w:r>
      <w:r w:rsidRPr="009D125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primatelja naknada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 w:rsidRPr="009D125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- Općina je u izvještajnom razdoblju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osigurala naknade</w:t>
      </w:r>
      <w:r w:rsidR="00BA5D66" w:rsidRP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 w:rsidR="00BA5D66" w:rsidRPr="009D125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za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 w:rsidR="00694358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721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 w:rsidR="00385580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korisnika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.</w:t>
      </w:r>
    </w:p>
    <w:p w14:paraId="469E630B" w14:textId="77777777" w:rsidR="009D1253" w:rsidRDefault="009D1253" w:rsidP="0068528A">
      <w:pPr>
        <w:spacing w:after="0" w:line="360" w:lineRule="auto"/>
        <w:ind w:left="360" w:firstLine="348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</w:p>
    <w:p w14:paraId="65CAE52D" w14:textId="0A6B04A8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Posebni cilj </w:t>
      </w:r>
      <w:r w:rsidR="000453AA"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2.</w:t>
      </w: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6: Bogat i uključiv društveni život </w:t>
      </w:r>
    </w:p>
    <w:p w14:paraId="04E427DF" w14:textId="77AAE2C9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/>
          <w:sz w:val="24"/>
          <w:szCs w:val="24"/>
        </w:rPr>
      </w:pP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 xml:space="preserve">Mjera </w:t>
      </w:r>
      <w:r w:rsidR="000453AA"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2.6.</w:t>
      </w: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3. Promicanje sportskih,  kulturnih i kreativnih industrija s naglaskom na uključivanje mladih</w:t>
      </w:r>
    </w:p>
    <w:p w14:paraId="5D936DB3" w14:textId="7908EDBE" w:rsidR="009D1253" w:rsidRDefault="009D1253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9D125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mjere:</w:t>
      </w:r>
      <w:r w:rsidRPr="009D1253">
        <w:t xml:space="preserve"> </w:t>
      </w:r>
      <w:r w:rsidRPr="009D125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korisnika donacija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- </w:t>
      </w:r>
      <w:bookmarkStart w:id="7" w:name="_Hlk159328470"/>
      <w:r w:rsidRPr="009D1253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Općina je u izvještajnom razdoblju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bookmarkEnd w:id="7"/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osigurala sredstva za </w:t>
      </w:r>
      <w:r w:rsidR="00694358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60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korisnika donacija</w:t>
      </w:r>
      <w:r w:rsidR="002415C1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.</w:t>
      </w:r>
    </w:p>
    <w:p w14:paraId="35C06C27" w14:textId="77777777" w:rsidR="00BC0C2D" w:rsidRDefault="00BC0C2D" w:rsidP="0068528A">
      <w:pPr>
        <w:spacing w:after="0" w:line="360" w:lineRule="auto"/>
        <w:ind w:left="360" w:firstLine="348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</w:p>
    <w:p w14:paraId="20B83B46" w14:textId="3D6062F0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Posebni cilj </w:t>
      </w:r>
      <w:r w:rsidR="000453AA"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2.</w:t>
      </w: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7: Unaprijeđen sustav upravljanja rizicima </w:t>
      </w:r>
    </w:p>
    <w:p w14:paraId="56C6BE2D" w14:textId="18E3F98C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i/>
          <w:sz w:val="24"/>
          <w:szCs w:val="24"/>
        </w:rPr>
      </w:pP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 xml:space="preserve">Mjera </w:t>
      </w:r>
      <w:r w:rsidR="000453AA"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2.7.</w:t>
      </w: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1. Učinkovita civilna zaštita</w:t>
      </w:r>
    </w:p>
    <w:p w14:paraId="6FD791E6" w14:textId="1B9E7BFD" w:rsidR="00BC0C2D" w:rsidRDefault="00BC0C2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mjere: Broj društava korisnika nabavljene opreme za civilnu zaštitu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- </w:t>
      </w: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Općina je u izvještajnom razdoblju osigurala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nabavu opreme za 5 društva civilne zaštite</w:t>
      </w:r>
      <w:r w:rsidR="002415C1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(</w:t>
      </w:r>
      <w:r w:rsidR="002415C1" w:rsidRPr="002415C1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cipele i vatrogasne čizme, užad, radni pojas, ručna penjalica, podesiva dvostruka pupkovina, nožna gurna, kolotura, karabiner, spuštalica i zaštita za uže, vatrogasne svijetilje, vatrogasna odjela, vatrogasni aparati, prijelaznice, tlačna cijev, potopna pumpa</w:t>
      </w:r>
      <w:r w:rsidR="002415C1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)</w:t>
      </w:r>
    </w:p>
    <w:p w14:paraId="2D475DC7" w14:textId="77777777" w:rsidR="00BC0C2D" w:rsidRPr="000E5525" w:rsidRDefault="00BC0C2D" w:rsidP="0068528A">
      <w:pPr>
        <w:spacing w:after="0" w:line="360" w:lineRule="auto"/>
        <w:ind w:left="360" w:firstLine="348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</w:rPr>
      </w:pPr>
    </w:p>
    <w:p w14:paraId="09A7142F" w14:textId="7CE93577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Posebni cilj </w:t>
      </w:r>
      <w:r w:rsidR="000453AA"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2.</w:t>
      </w: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8: Dobro upravljanje u javnom sektoru </w:t>
      </w:r>
    </w:p>
    <w:p w14:paraId="69BDF4FC" w14:textId="19B50C9F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/>
          <w:sz w:val="24"/>
          <w:szCs w:val="24"/>
        </w:rPr>
      </w:pP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 xml:space="preserve">Mjera </w:t>
      </w:r>
      <w:r w:rsidR="000453AA"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2.8.</w:t>
      </w: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1. Povećanje učinkovitosti javne uprave</w:t>
      </w:r>
    </w:p>
    <w:p w14:paraId="5450C85F" w14:textId="03108249" w:rsidR="002056CD" w:rsidRDefault="00BC0C2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: </w:t>
      </w: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održanih sjednica i drugih ključnih radnih sastanaka različitih općinskih povjerenstava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- </w:t>
      </w: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Općina je u izvještajnom razdoblju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održala </w:t>
      </w:r>
      <w:r w:rsidR="002415C1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9</w:t>
      </w: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sjednica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</w:t>
      </w: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pćinskog vijeća i </w:t>
      </w:r>
      <w:r w:rsidR="002415C1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33</w:t>
      </w: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sjednica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Općinskog </w:t>
      </w: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povjerenstva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.</w:t>
      </w:r>
    </w:p>
    <w:p w14:paraId="32D81A3C" w14:textId="77777777" w:rsidR="00BC0C2D" w:rsidRDefault="00BC0C2D" w:rsidP="0068528A">
      <w:pPr>
        <w:spacing w:after="0" w:line="360" w:lineRule="auto"/>
        <w:ind w:left="708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</w:p>
    <w:p w14:paraId="3A23BBA7" w14:textId="4D19D5C7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/>
          <w:sz w:val="24"/>
          <w:szCs w:val="24"/>
        </w:rPr>
      </w:pP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Mjera</w:t>
      </w:r>
      <w:r w:rsidR="002415C1">
        <w:rPr>
          <w:rFonts w:asciiTheme="majorHAnsi" w:eastAsia="Calibri" w:hAnsiTheme="majorHAnsi" w:cs="Times New Roman"/>
          <w:b/>
          <w:i/>
          <w:sz w:val="24"/>
          <w:szCs w:val="24"/>
        </w:rPr>
        <w:t xml:space="preserve"> </w:t>
      </w:r>
      <w:r w:rsidR="00254664" w:rsidRPr="00254664">
        <w:rPr>
          <w:rFonts w:asciiTheme="majorHAnsi" w:eastAsia="Calibri" w:hAnsiTheme="majorHAnsi" w:cs="Times New Roman"/>
          <w:b/>
          <w:i/>
          <w:sz w:val="24"/>
          <w:szCs w:val="24"/>
        </w:rPr>
        <w:t>2.8.2. Upravljanje regionalnim razvojem u skladu sa strateškim usmjerenjem Međimurske županije</w:t>
      </w:r>
    </w:p>
    <w:p w14:paraId="0B08FC10" w14:textId="4BAF2024" w:rsidR="002056CD" w:rsidRDefault="00BC0C2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: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ab/>
      </w: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korisnika dječjih darova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- Općina je u izvještajnom razdoblju osigurala darove za </w:t>
      </w:r>
      <w:r w:rsidR="002415C1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570</w:t>
      </w:r>
      <w:r w:rsidR="00254664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djece. </w:t>
      </w:r>
    </w:p>
    <w:p w14:paraId="02855E63" w14:textId="77777777" w:rsidR="00BC0C2D" w:rsidRPr="000E5525" w:rsidRDefault="00BC0C2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sz w:val="24"/>
          <w:szCs w:val="24"/>
        </w:rPr>
      </w:pPr>
    </w:p>
    <w:p w14:paraId="72BAA2E3" w14:textId="77777777" w:rsidR="002056CD" w:rsidRPr="000E5525" w:rsidRDefault="002056CD" w:rsidP="0068528A">
      <w:pPr>
        <w:pStyle w:val="Naglaencitat"/>
        <w:spacing w:before="0" w:after="0" w:line="360" w:lineRule="auto"/>
        <w:ind w:left="0"/>
        <w:rPr>
          <w:rFonts w:asciiTheme="majorHAnsi" w:hAnsiTheme="majorHAnsi"/>
          <w:sz w:val="24"/>
          <w:szCs w:val="24"/>
        </w:rPr>
      </w:pPr>
      <w:r w:rsidRPr="000E5525">
        <w:rPr>
          <w:rFonts w:asciiTheme="majorHAnsi" w:hAnsiTheme="majorHAnsi"/>
          <w:sz w:val="24"/>
          <w:szCs w:val="24"/>
        </w:rPr>
        <w:t>PRIORITET 3: ZELENO I DIGITALNO MEĐIMURJE</w:t>
      </w:r>
    </w:p>
    <w:p w14:paraId="78BEC634" w14:textId="77777777" w:rsidR="00BC0C2D" w:rsidRDefault="00BC0C2D" w:rsidP="0068528A">
      <w:pPr>
        <w:spacing w:after="0" w:line="360" w:lineRule="auto"/>
        <w:ind w:left="360" w:firstLine="348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</w:p>
    <w:p w14:paraId="7D07DDB1" w14:textId="53FF0063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Posebni cilj </w:t>
      </w:r>
      <w:r w:rsidR="003E19C6"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3.</w:t>
      </w: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10: </w:t>
      </w:r>
      <w:r w:rsidR="003E19C6"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Energetska učinkovitost i korištenje OIE</w:t>
      </w:r>
    </w:p>
    <w:p w14:paraId="31D0B9A0" w14:textId="7894F9F3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/>
          <w:sz w:val="24"/>
          <w:szCs w:val="24"/>
        </w:rPr>
      </w:pP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 xml:space="preserve">Mjera </w:t>
      </w:r>
      <w:r w:rsidR="003E19C6"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3.</w:t>
      </w: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1</w:t>
      </w:r>
      <w:r w:rsidR="003E19C6"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0.1</w:t>
      </w:r>
      <w:r w:rsidRPr="000E5525">
        <w:rPr>
          <w:rFonts w:asciiTheme="majorHAnsi" w:eastAsia="Calibri" w:hAnsiTheme="majorHAnsi" w:cs="Times New Roman"/>
          <w:b/>
          <w:i/>
          <w:sz w:val="24"/>
          <w:szCs w:val="24"/>
        </w:rPr>
        <w:t>. Povećanje energetske učinkovitosti</w:t>
      </w:r>
    </w:p>
    <w:p w14:paraId="7D156BE0" w14:textId="65C22A09" w:rsidR="00BC0C2D" w:rsidRDefault="00BC0C2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lastRenderedPageBreak/>
        <w:t>Pokazatelj rezultata mjere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: </w:t>
      </w: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postavljenih novih energetski efikasnih rasvjetnih tijela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– Općina je u izvještajnom razdoblju postavila </w:t>
      </w:r>
      <w:r w:rsidR="002415C1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34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 w:rsidR="002415C1" w:rsidRPr="002415C1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novih energetski efikasnih rasvjetnih tijela</w:t>
      </w:r>
      <w:r w:rsidR="00BA5D66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.</w:t>
      </w:r>
    </w:p>
    <w:p w14:paraId="29EACDF5" w14:textId="77777777" w:rsidR="002056CD" w:rsidRPr="000E5525" w:rsidRDefault="002056CD" w:rsidP="0068528A">
      <w:pPr>
        <w:spacing w:after="0" w:line="360" w:lineRule="auto"/>
        <w:ind w:left="360" w:firstLine="348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</w:p>
    <w:p w14:paraId="0BC14679" w14:textId="1D2272BB" w:rsidR="002056CD" w:rsidRPr="000E5525" w:rsidRDefault="002056C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Posebni cilj </w:t>
      </w:r>
      <w:r w:rsidR="00AB3CF5"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3.</w:t>
      </w: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11: Razvijena komunalna infrastruktura</w:t>
      </w:r>
    </w:p>
    <w:p w14:paraId="771ABE18" w14:textId="77777777" w:rsidR="00BC0C2D" w:rsidRDefault="00BC0C2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/>
          <w:sz w:val="24"/>
          <w:szCs w:val="24"/>
        </w:rPr>
      </w:pPr>
      <w:r w:rsidRPr="00BC0C2D">
        <w:rPr>
          <w:rFonts w:asciiTheme="majorHAnsi" w:eastAsia="Calibri" w:hAnsiTheme="majorHAnsi" w:cs="Times New Roman"/>
          <w:b/>
          <w:i/>
          <w:sz w:val="24"/>
          <w:szCs w:val="24"/>
        </w:rPr>
        <w:t>M 3.11.1. Povećanje učinkovitosti sustava gospodarenja otpadom</w:t>
      </w:r>
    </w:p>
    <w:p w14:paraId="422EB61E" w14:textId="3AEAFBC7" w:rsidR="00C43B2F" w:rsidRDefault="00BC0C2D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:</w:t>
      </w:r>
      <w:r w:rsidR="00E0381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 w:rsidR="00E0381B" w:rsidRPr="00E0381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pruženih komunalnih usluga</w:t>
      </w:r>
      <w:r w:rsidR="00E0381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- </w:t>
      </w:r>
      <w:r w:rsidR="00E0381B" w:rsidRPr="00E0381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Općina je u izvještajnom razdoblju pruž</w:t>
      </w:r>
      <w:r w:rsidR="00E0381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ila</w:t>
      </w:r>
      <w:r w:rsidR="00E0381B" w:rsidRPr="00E0381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12</w:t>
      </w:r>
      <w:r w:rsidR="00E0381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</w:t>
      </w:r>
      <w:r w:rsidR="00E0381B" w:rsidRPr="00E0381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komunalnih usluga</w:t>
      </w:r>
      <w:r w:rsidR="00E0381B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.</w:t>
      </w:r>
    </w:p>
    <w:p w14:paraId="4B6902EC" w14:textId="77777777" w:rsidR="005A1C05" w:rsidRDefault="005A1C05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</w:p>
    <w:p w14:paraId="3C1974D3" w14:textId="75A3BD49" w:rsidR="005A1C05" w:rsidRPr="005A1C05" w:rsidRDefault="005A1C05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5A1C05">
        <w:rPr>
          <w:rFonts w:asciiTheme="majorHAnsi" w:eastAsia="Calibri" w:hAnsiTheme="majorHAnsi" w:cs="Times New Roman"/>
          <w:b/>
          <w:sz w:val="24"/>
          <w:szCs w:val="24"/>
          <w:u w:val="single"/>
        </w:rPr>
        <w:t>Posebni cilj: 3.12: Suvremena prometna infrastruktura</w:t>
      </w:r>
    </w:p>
    <w:p w14:paraId="1F7F011B" w14:textId="664929A6" w:rsidR="005A1C05" w:rsidRPr="005A1C05" w:rsidRDefault="005A1C05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/>
          <w:sz w:val="24"/>
          <w:szCs w:val="24"/>
        </w:rPr>
      </w:pPr>
      <w:r w:rsidRPr="005A1C05">
        <w:rPr>
          <w:rFonts w:asciiTheme="majorHAnsi" w:eastAsia="Calibri" w:hAnsiTheme="majorHAnsi" w:cs="Times New Roman"/>
          <w:b/>
          <w:i/>
          <w:sz w:val="24"/>
          <w:szCs w:val="24"/>
        </w:rPr>
        <w:t>M 3.12.1. Unapređenje prometne infrastrukture</w:t>
      </w:r>
    </w:p>
    <w:p w14:paraId="79E1B7C4" w14:textId="7EED3968" w:rsidR="005A1C05" w:rsidRDefault="001A7F0A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: </w:t>
      </w:r>
      <w:r w:rsidR="005A1C05" w:rsidRPr="005A1C05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novoizgrađenih autobusnih ugibališta / stajališta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– Općina je u izvještajnom razdoblju osigurala jedno (</w:t>
      </w:r>
      <w:r w:rsidR="005A1C05" w:rsidRPr="005A1C05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1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)</w:t>
      </w:r>
      <w:r w:rsidR="005A1C05" w:rsidRPr="005A1C05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nov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</w:t>
      </w:r>
      <w:r w:rsidR="005A1C05" w:rsidRPr="005A1C05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izgrađeno natkriveno autobusno stajalište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. </w:t>
      </w:r>
    </w:p>
    <w:p w14:paraId="76EA75BA" w14:textId="22B39669" w:rsidR="005A1C05" w:rsidRPr="000E5525" w:rsidRDefault="005A1C05" w:rsidP="0068528A">
      <w:pPr>
        <w:pStyle w:val="Naslov1"/>
        <w:numPr>
          <w:ilvl w:val="1"/>
          <w:numId w:val="6"/>
        </w:numPr>
        <w:spacing w:line="360" w:lineRule="auto"/>
      </w:pPr>
      <w:bookmarkStart w:id="8" w:name="_Toc221536420"/>
      <w:r>
        <w:rPr>
          <w:rFonts w:eastAsia="Calibri"/>
        </w:rPr>
        <w:t>STATUS PROVEDBE: NIJE POKRENUTO</w:t>
      </w:r>
      <w:bookmarkEnd w:id="8"/>
    </w:p>
    <w:p w14:paraId="5AC53ED1" w14:textId="77777777" w:rsidR="005A1C05" w:rsidRDefault="005A1C05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</w:p>
    <w:p w14:paraId="31C21545" w14:textId="78FD9E85" w:rsidR="005A1C05" w:rsidRPr="001A7F0A" w:rsidRDefault="008835CC" w:rsidP="00621DAB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Posebni cilj</w:t>
      </w:r>
      <w:r w:rsidR="001A7F0A" w:rsidRPr="001A7F0A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 1.1: Konkurentno i inovativno gospodarstvo</w:t>
      </w:r>
    </w:p>
    <w:p w14:paraId="3E1C2A4C" w14:textId="77777777" w:rsidR="001A7F0A" w:rsidRPr="001A7F0A" w:rsidRDefault="001A7F0A" w:rsidP="00621DAB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/>
          <w:sz w:val="24"/>
          <w:szCs w:val="24"/>
        </w:rPr>
      </w:pPr>
      <w:r w:rsidRPr="001A7F0A">
        <w:rPr>
          <w:rFonts w:asciiTheme="majorHAnsi" w:eastAsia="Calibri" w:hAnsiTheme="majorHAnsi" w:cs="Times New Roman"/>
          <w:b/>
          <w:i/>
          <w:sz w:val="24"/>
          <w:szCs w:val="24"/>
        </w:rPr>
        <w:t>M 1.1.5. Proaktivno pristupanje privlačenju ulaganja i razvoju gospodarskih zona</w:t>
      </w:r>
    </w:p>
    <w:p w14:paraId="23FD612D" w14:textId="6C570EBF" w:rsidR="008835CC" w:rsidRDefault="001A7F0A" w:rsidP="00621DAB">
      <w:pPr>
        <w:spacing w:after="0" w:line="360" w:lineRule="auto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: </w:t>
      </w:r>
      <w:r w:rsidRPr="008835C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Kvadratni metri površine izgrađene poduzetničke zone – Općina u izvještajnom razdoblju nije pokrenula navedenu investiciju jer nije bilo </w:t>
      </w:r>
      <w:r w:rsidR="008835C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otvorenih</w:t>
      </w:r>
      <w:r w:rsidRPr="008835C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Natječaja iz kojeg bi se osigurala financijska sredstva. </w:t>
      </w:r>
    </w:p>
    <w:p w14:paraId="6D869F4B" w14:textId="77777777" w:rsidR="0068528A" w:rsidRPr="008835CC" w:rsidRDefault="0068528A" w:rsidP="00621DAB">
      <w:pPr>
        <w:spacing w:after="0" w:line="360" w:lineRule="auto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</w:p>
    <w:p w14:paraId="7AF57A98" w14:textId="77777777" w:rsidR="008835CC" w:rsidRPr="008835CC" w:rsidRDefault="008835CC" w:rsidP="00621DAB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8835CC">
        <w:rPr>
          <w:rFonts w:asciiTheme="majorHAnsi" w:eastAsia="Calibri" w:hAnsiTheme="majorHAnsi" w:cs="Times New Roman"/>
          <w:b/>
          <w:sz w:val="24"/>
          <w:szCs w:val="24"/>
          <w:u w:val="single"/>
        </w:rPr>
        <w:t>Posebni cilj 2.6: Bogat i uključiv društveni život</w:t>
      </w:r>
    </w:p>
    <w:p w14:paraId="366D16F3" w14:textId="77777777" w:rsidR="008835CC" w:rsidRPr="008835CC" w:rsidRDefault="008835CC" w:rsidP="00621DAB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/>
          <w:sz w:val="24"/>
          <w:szCs w:val="24"/>
        </w:rPr>
      </w:pPr>
      <w:r w:rsidRPr="008835CC">
        <w:rPr>
          <w:rFonts w:asciiTheme="majorHAnsi" w:eastAsia="Calibri" w:hAnsiTheme="majorHAnsi" w:cs="Times New Roman"/>
          <w:b/>
          <w:i/>
          <w:sz w:val="24"/>
          <w:szCs w:val="24"/>
        </w:rPr>
        <w:t>M 2.6.2. Razvoj sportske infrastrukture</w:t>
      </w:r>
    </w:p>
    <w:p w14:paraId="07A46E67" w14:textId="606DB8CA" w:rsidR="008835CC" w:rsidRDefault="008835CC" w:rsidP="00621DAB">
      <w:pPr>
        <w:spacing w:after="0" w:line="360" w:lineRule="auto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Pokazatelj rezultata mjere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: </w:t>
      </w:r>
      <w:r w:rsidRPr="008835C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izgrađenih sportsko-rekreacijskih centara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- </w:t>
      </w:r>
      <w:r w:rsidRPr="008835C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Općina u izvještajnom razdoblju nije pokrenula navedenu investiciju jer nije bilo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otvorenih</w:t>
      </w:r>
      <w:r w:rsidRPr="008835C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Natječaja iz kojeg bi se osigurala financijska sredstva. </w:t>
      </w:r>
    </w:p>
    <w:p w14:paraId="0DB43D40" w14:textId="77777777" w:rsidR="0068528A" w:rsidRDefault="0068528A" w:rsidP="00621DAB">
      <w:pPr>
        <w:spacing w:after="0" w:line="360" w:lineRule="auto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</w:p>
    <w:p w14:paraId="693A8C12" w14:textId="63D886B4" w:rsidR="001A7F0A" w:rsidRPr="008835CC" w:rsidRDefault="008835CC" w:rsidP="00621DAB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sz w:val="24"/>
          <w:szCs w:val="24"/>
          <w:u w:val="single"/>
        </w:rPr>
      </w:pPr>
      <w:r w:rsidRPr="000E5525">
        <w:rPr>
          <w:rFonts w:asciiTheme="majorHAnsi" w:eastAsia="Calibri" w:hAnsiTheme="majorHAnsi" w:cs="Times New Roman"/>
          <w:b/>
          <w:sz w:val="24"/>
          <w:szCs w:val="24"/>
          <w:u w:val="single"/>
        </w:rPr>
        <w:t>Posebni cilj</w:t>
      </w:r>
      <w:r w:rsidR="001A7F0A" w:rsidRPr="008835CC">
        <w:rPr>
          <w:rFonts w:asciiTheme="majorHAnsi" w:eastAsia="Calibri" w:hAnsiTheme="majorHAnsi" w:cs="Times New Roman"/>
          <w:b/>
          <w:sz w:val="24"/>
          <w:szCs w:val="24"/>
          <w:u w:val="single"/>
        </w:rPr>
        <w:t xml:space="preserve"> 2.6: Bogat i uključiv društveni život</w:t>
      </w:r>
    </w:p>
    <w:p w14:paraId="32821768" w14:textId="77777777" w:rsidR="001A7F0A" w:rsidRPr="008835CC" w:rsidRDefault="001A7F0A" w:rsidP="0068528A">
      <w:pPr>
        <w:spacing w:after="0" w:line="360" w:lineRule="auto"/>
        <w:contextualSpacing/>
        <w:jc w:val="both"/>
        <w:rPr>
          <w:rFonts w:asciiTheme="majorHAnsi" w:eastAsia="Calibri" w:hAnsiTheme="majorHAnsi" w:cs="Times New Roman"/>
          <w:b/>
          <w:i/>
          <w:sz w:val="24"/>
          <w:szCs w:val="24"/>
        </w:rPr>
      </w:pPr>
      <w:r w:rsidRPr="008835CC">
        <w:rPr>
          <w:rFonts w:asciiTheme="majorHAnsi" w:eastAsia="Calibri" w:hAnsiTheme="majorHAnsi" w:cs="Times New Roman"/>
          <w:b/>
          <w:i/>
          <w:sz w:val="24"/>
          <w:szCs w:val="24"/>
        </w:rPr>
        <w:t>M 2.6.3. Promicanje kulturnih i kreativnih industrija s naglaskom na uključivanje mladih</w:t>
      </w:r>
    </w:p>
    <w:p w14:paraId="649A5071" w14:textId="44A36C35" w:rsidR="00621DAB" w:rsidRDefault="008835CC" w:rsidP="0068528A">
      <w:pPr>
        <w:spacing w:line="360" w:lineRule="auto"/>
        <w:rPr>
          <w:rFonts w:asciiTheme="majorHAnsi" w:eastAsia="Calibri" w:hAnsiTheme="majorHAnsi" w:cs="Times New Roman"/>
          <w:color w:val="1F497D" w:themeColor="text2"/>
          <w:sz w:val="24"/>
          <w:szCs w:val="24"/>
        </w:rPr>
      </w:pPr>
      <w:r w:rsidRPr="00BC0C2D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lastRenderedPageBreak/>
        <w:t>Pokazatelj rezultata mjere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: </w:t>
      </w:r>
      <w:r w:rsidR="001A7F0A" w:rsidRPr="008835C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Broj adaptiranih domova kulture</w:t>
      </w:r>
      <w:r w:rsidRPr="008835C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- Općina u izvještajnom razdoblju nije pokrenula navedenu investiciju jer nije bilo </w:t>
      </w:r>
      <w:r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>otvorenih</w:t>
      </w:r>
      <w:r w:rsidRPr="008835CC">
        <w:rPr>
          <w:rFonts w:asciiTheme="majorHAnsi" w:eastAsia="Calibri" w:hAnsiTheme="majorHAnsi" w:cs="Times New Roman"/>
          <w:color w:val="1F497D" w:themeColor="text2"/>
          <w:sz w:val="24"/>
          <w:szCs w:val="24"/>
        </w:rPr>
        <w:t xml:space="preserve"> Natječaja iz kojeg bi se osigurala financijska sredstva. </w:t>
      </w:r>
    </w:p>
    <w:p w14:paraId="2779D402" w14:textId="6664466F" w:rsidR="004A7ABD" w:rsidRPr="000E5525" w:rsidRDefault="004A7ABD" w:rsidP="0068528A">
      <w:pPr>
        <w:pStyle w:val="Naslov1"/>
        <w:numPr>
          <w:ilvl w:val="0"/>
          <w:numId w:val="6"/>
        </w:numPr>
        <w:spacing w:line="360" w:lineRule="auto"/>
      </w:pPr>
      <w:bookmarkStart w:id="9" w:name="_Toc126584371"/>
      <w:bookmarkStart w:id="10" w:name="_Toc221536421"/>
      <w:r w:rsidRPr="000E5525">
        <w:t xml:space="preserve">ZAKLJUČAK O </w:t>
      </w:r>
      <w:r w:rsidRPr="0068528A">
        <w:t>OSTVARENOM</w:t>
      </w:r>
      <w:r w:rsidRPr="000E5525">
        <w:t xml:space="preserve"> NAPRETKU U PROVEDBI MJERA</w:t>
      </w:r>
      <w:bookmarkEnd w:id="9"/>
      <w:bookmarkEnd w:id="10"/>
      <w:r w:rsidRPr="000E5525">
        <w:t xml:space="preserve"> </w:t>
      </w:r>
    </w:p>
    <w:p w14:paraId="07C7064E" w14:textId="77777777" w:rsidR="004A7ABD" w:rsidRPr="000E5525" w:rsidRDefault="004A7ABD" w:rsidP="0068528A">
      <w:pPr>
        <w:spacing w:after="0" w:line="360" w:lineRule="auto"/>
        <w:rPr>
          <w:rFonts w:asciiTheme="majorHAnsi" w:hAnsiTheme="majorHAnsi"/>
          <w:sz w:val="24"/>
          <w:szCs w:val="24"/>
        </w:rPr>
      </w:pPr>
    </w:p>
    <w:p w14:paraId="16355888" w14:textId="63F80D8A" w:rsidR="00B7338A" w:rsidRPr="00621DAB" w:rsidRDefault="004A7ABD" w:rsidP="0068528A">
      <w:pPr>
        <w:spacing w:after="0" w:line="360" w:lineRule="auto"/>
        <w:jc w:val="both"/>
        <w:rPr>
          <w:rFonts w:asciiTheme="majorHAnsi" w:eastAsia="Calibri" w:hAnsiTheme="majorHAnsi" w:cs="Times New Roman"/>
          <w:b/>
          <w:bCs/>
          <w:sz w:val="24"/>
          <w:szCs w:val="24"/>
        </w:rPr>
      </w:pPr>
      <w:r w:rsidRPr="000E5525">
        <w:rPr>
          <w:rFonts w:asciiTheme="majorHAnsi" w:hAnsiTheme="majorHAnsi"/>
          <w:sz w:val="24"/>
          <w:szCs w:val="24"/>
        </w:rPr>
        <w:t xml:space="preserve">Napredak koji je ostvaren u provedbi mjera Provedbenog programa Općine Sveti </w:t>
      </w:r>
      <w:r w:rsidR="002435CE" w:rsidRPr="000E5525">
        <w:rPr>
          <w:rFonts w:asciiTheme="majorHAnsi" w:hAnsiTheme="majorHAnsi"/>
          <w:sz w:val="24"/>
          <w:szCs w:val="24"/>
        </w:rPr>
        <w:t>Juraj na Bregu</w:t>
      </w:r>
      <w:r w:rsidRPr="000E5525">
        <w:rPr>
          <w:rFonts w:asciiTheme="majorHAnsi" w:hAnsiTheme="majorHAnsi"/>
          <w:sz w:val="24"/>
          <w:szCs w:val="24"/>
        </w:rPr>
        <w:t>, uvjetovan je nizom okolnosti koje su utjecale na rad svih jedinica lokalne samouprave u Republici Hrvatskoj pa tako i Općine</w:t>
      </w:r>
      <w:r w:rsidR="00E82F6C" w:rsidRPr="000E5525">
        <w:rPr>
          <w:rFonts w:asciiTheme="majorHAnsi" w:hAnsiTheme="majorHAnsi"/>
          <w:sz w:val="24"/>
          <w:szCs w:val="24"/>
        </w:rPr>
        <w:t xml:space="preserve"> Sveti Juraj na Bregu</w:t>
      </w:r>
      <w:r w:rsidRPr="000E5525">
        <w:rPr>
          <w:rFonts w:asciiTheme="majorHAnsi" w:hAnsiTheme="majorHAnsi"/>
          <w:sz w:val="24"/>
          <w:szCs w:val="24"/>
        </w:rPr>
        <w:t xml:space="preserve">. </w:t>
      </w:r>
      <w:r w:rsidR="002435CE" w:rsidRPr="000E5525">
        <w:rPr>
          <w:rFonts w:asciiTheme="majorHAnsi" w:hAnsiTheme="majorHAnsi"/>
          <w:sz w:val="24"/>
          <w:szCs w:val="24"/>
        </w:rPr>
        <w:t xml:space="preserve">S obzirom na sve </w:t>
      </w:r>
      <w:r w:rsidRPr="000E5525">
        <w:rPr>
          <w:rFonts w:asciiTheme="majorHAnsi" w:hAnsiTheme="majorHAnsi"/>
          <w:sz w:val="24"/>
          <w:szCs w:val="24"/>
        </w:rPr>
        <w:t xml:space="preserve">izazove, provedba većina mjera je započela u skladu s planiranim rokovima i napredak se kod većine njih odvija u skladu s predviđenom dinamikom. </w:t>
      </w:r>
      <w:r w:rsidR="00AA3118">
        <w:rPr>
          <w:rFonts w:asciiTheme="majorHAnsi" w:hAnsiTheme="majorHAnsi"/>
          <w:sz w:val="24"/>
          <w:szCs w:val="24"/>
        </w:rPr>
        <w:t xml:space="preserve">O navedenom svjedoči i činjenica kako je </w:t>
      </w:r>
      <w:r w:rsidR="00AA3118" w:rsidRPr="00457745">
        <w:rPr>
          <w:rFonts w:asciiTheme="majorHAnsi" w:hAnsiTheme="majorHAnsi"/>
          <w:b/>
          <w:bCs/>
          <w:sz w:val="24"/>
          <w:szCs w:val="24"/>
        </w:rPr>
        <w:t>Općina Sveti Juraj na Bregu u izvještajnom razdoblju od 1.1.202</w:t>
      </w:r>
      <w:r w:rsidR="0068528A" w:rsidRPr="00457745">
        <w:rPr>
          <w:rFonts w:asciiTheme="majorHAnsi" w:hAnsiTheme="majorHAnsi"/>
          <w:b/>
          <w:bCs/>
          <w:sz w:val="24"/>
          <w:szCs w:val="24"/>
        </w:rPr>
        <w:t>5</w:t>
      </w:r>
      <w:r w:rsidR="00AA3118" w:rsidRPr="00457745">
        <w:rPr>
          <w:rFonts w:asciiTheme="majorHAnsi" w:hAnsiTheme="majorHAnsi"/>
          <w:b/>
          <w:bCs/>
          <w:sz w:val="24"/>
          <w:szCs w:val="24"/>
        </w:rPr>
        <w:t>. do 31.12.202. od 14 pokazatelja rezultata</w:t>
      </w:r>
      <w:r w:rsidR="0068528A" w:rsidRPr="0045774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8528A" w:rsidRPr="00457745">
        <w:rPr>
          <w:rFonts w:asciiTheme="majorHAnsi" w:hAnsiTheme="majorHAnsi" w:cstheme="minorHAnsi"/>
          <w:b/>
          <w:bCs/>
          <w:sz w:val="24"/>
          <w:szCs w:val="24"/>
        </w:rPr>
        <w:t>mjera, 11 mjera ima status „Provedeno“, dok 3 mjere imaju status „Nisu pokrenute“.</w:t>
      </w:r>
      <w:r w:rsidR="0068528A">
        <w:rPr>
          <w:rFonts w:asciiTheme="majorHAnsi" w:hAnsiTheme="majorHAnsi" w:cstheme="minorHAnsi"/>
          <w:b/>
          <w:bCs/>
          <w:sz w:val="24"/>
          <w:szCs w:val="24"/>
        </w:rPr>
        <w:t xml:space="preserve"> </w:t>
      </w:r>
      <w:r w:rsidRPr="000E5525">
        <w:rPr>
          <w:rFonts w:asciiTheme="majorHAnsi" w:hAnsiTheme="majorHAnsi"/>
          <w:sz w:val="24"/>
          <w:szCs w:val="24"/>
        </w:rPr>
        <w:t>Mjere koje imaju status provedbe „</w:t>
      </w:r>
      <w:r w:rsidR="00AA3118">
        <w:rPr>
          <w:rFonts w:asciiTheme="majorHAnsi" w:hAnsiTheme="majorHAnsi"/>
          <w:sz w:val="24"/>
          <w:szCs w:val="24"/>
        </w:rPr>
        <w:t>Provedeno</w:t>
      </w:r>
      <w:r w:rsidRPr="000E5525">
        <w:rPr>
          <w:rFonts w:asciiTheme="majorHAnsi" w:hAnsiTheme="majorHAnsi"/>
          <w:sz w:val="24"/>
          <w:szCs w:val="24"/>
        </w:rPr>
        <w:t xml:space="preserve">“ </w:t>
      </w:r>
      <w:r w:rsidR="00AA3118">
        <w:rPr>
          <w:rFonts w:asciiTheme="majorHAnsi" w:hAnsiTheme="majorHAnsi"/>
          <w:sz w:val="24"/>
          <w:szCs w:val="24"/>
        </w:rPr>
        <w:t xml:space="preserve">su započete i završene u skladu s predviđenom dinamikom.  </w:t>
      </w:r>
      <w:r w:rsidR="005B36F5">
        <w:rPr>
          <w:rFonts w:asciiTheme="majorHAnsi" w:hAnsiTheme="majorHAnsi"/>
          <w:sz w:val="24"/>
          <w:szCs w:val="24"/>
        </w:rPr>
        <w:t>Također, u</w:t>
      </w:r>
      <w:r w:rsidR="002435CE" w:rsidRPr="000E5525">
        <w:rPr>
          <w:rFonts w:asciiTheme="majorHAnsi" w:hAnsiTheme="majorHAnsi"/>
          <w:sz w:val="24"/>
          <w:szCs w:val="24"/>
        </w:rPr>
        <w:t xml:space="preserve"> daljnjem razdoblju nastavlja</w:t>
      </w:r>
      <w:r w:rsidRPr="000E5525">
        <w:rPr>
          <w:rFonts w:asciiTheme="majorHAnsi" w:hAnsiTheme="majorHAnsi"/>
          <w:sz w:val="24"/>
          <w:szCs w:val="24"/>
        </w:rPr>
        <w:t xml:space="preserve"> se</w:t>
      </w:r>
      <w:r w:rsidR="002435CE" w:rsidRPr="000E5525">
        <w:rPr>
          <w:rFonts w:asciiTheme="majorHAnsi" w:hAnsiTheme="majorHAnsi"/>
          <w:sz w:val="24"/>
          <w:szCs w:val="24"/>
        </w:rPr>
        <w:t xml:space="preserve"> s</w:t>
      </w:r>
      <w:r w:rsidRPr="000E5525">
        <w:rPr>
          <w:rFonts w:asciiTheme="majorHAnsi" w:hAnsiTheme="majorHAnsi"/>
          <w:sz w:val="24"/>
          <w:szCs w:val="24"/>
        </w:rPr>
        <w:t xml:space="preserve"> </w:t>
      </w:r>
      <w:r w:rsidR="00AA1545">
        <w:rPr>
          <w:rFonts w:asciiTheme="majorHAnsi" w:hAnsiTheme="majorHAnsi"/>
          <w:sz w:val="24"/>
          <w:szCs w:val="24"/>
        </w:rPr>
        <w:t xml:space="preserve">pripremnim </w:t>
      </w:r>
      <w:r w:rsidRPr="000E5525">
        <w:rPr>
          <w:rFonts w:asciiTheme="majorHAnsi" w:hAnsiTheme="majorHAnsi"/>
          <w:sz w:val="24"/>
          <w:szCs w:val="24"/>
        </w:rPr>
        <w:t>aktivnosti</w:t>
      </w:r>
      <w:r w:rsidR="002435CE" w:rsidRPr="000E5525">
        <w:rPr>
          <w:rFonts w:asciiTheme="majorHAnsi" w:hAnsiTheme="majorHAnsi"/>
          <w:sz w:val="24"/>
          <w:szCs w:val="24"/>
        </w:rPr>
        <w:t>ma</w:t>
      </w:r>
      <w:r w:rsidRPr="000E5525">
        <w:rPr>
          <w:rFonts w:asciiTheme="majorHAnsi" w:hAnsiTheme="majorHAnsi"/>
          <w:sz w:val="24"/>
          <w:szCs w:val="24"/>
        </w:rPr>
        <w:t xml:space="preserve"> utvrđen</w:t>
      </w:r>
      <w:r w:rsidR="002435CE" w:rsidRPr="000E5525">
        <w:rPr>
          <w:rFonts w:asciiTheme="majorHAnsi" w:hAnsiTheme="majorHAnsi"/>
          <w:sz w:val="24"/>
          <w:szCs w:val="24"/>
        </w:rPr>
        <w:t>im</w:t>
      </w:r>
      <w:r w:rsidRPr="000E5525">
        <w:rPr>
          <w:rFonts w:asciiTheme="majorHAnsi" w:hAnsiTheme="majorHAnsi"/>
          <w:sz w:val="24"/>
          <w:szCs w:val="24"/>
        </w:rPr>
        <w:t xml:space="preserve"> </w:t>
      </w:r>
      <w:r w:rsidR="00BC7578">
        <w:rPr>
          <w:rFonts w:asciiTheme="majorHAnsi" w:hAnsiTheme="majorHAnsi"/>
          <w:sz w:val="24"/>
          <w:szCs w:val="24"/>
        </w:rPr>
        <w:t>P</w:t>
      </w:r>
      <w:r w:rsidRPr="000E5525">
        <w:rPr>
          <w:rFonts w:asciiTheme="majorHAnsi" w:hAnsiTheme="majorHAnsi"/>
          <w:sz w:val="24"/>
          <w:szCs w:val="24"/>
        </w:rPr>
        <w:t xml:space="preserve">rovedbenim programom kako bi </w:t>
      </w:r>
      <w:r w:rsidR="00BC7578">
        <w:rPr>
          <w:rFonts w:asciiTheme="majorHAnsi" w:hAnsiTheme="majorHAnsi"/>
          <w:sz w:val="24"/>
          <w:szCs w:val="24"/>
        </w:rPr>
        <w:t>započel</w:t>
      </w:r>
      <w:r w:rsidR="00457745">
        <w:rPr>
          <w:rFonts w:asciiTheme="majorHAnsi" w:hAnsiTheme="majorHAnsi"/>
          <w:sz w:val="24"/>
          <w:szCs w:val="24"/>
        </w:rPr>
        <w:t>a provedba</w:t>
      </w:r>
      <w:r w:rsidRPr="000E5525">
        <w:rPr>
          <w:rFonts w:asciiTheme="majorHAnsi" w:hAnsiTheme="majorHAnsi"/>
          <w:sz w:val="24"/>
          <w:szCs w:val="24"/>
        </w:rPr>
        <w:t xml:space="preserve"> mjer</w:t>
      </w:r>
      <w:r w:rsidR="00457745">
        <w:rPr>
          <w:rFonts w:asciiTheme="majorHAnsi" w:hAnsiTheme="majorHAnsi"/>
          <w:sz w:val="24"/>
          <w:szCs w:val="24"/>
        </w:rPr>
        <w:t>a</w:t>
      </w:r>
      <w:r w:rsidRPr="000E5525">
        <w:rPr>
          <w:rFonts w:asciiTheme="majorHAnsi" w:hAnsiTheme="majorHAnsi"/>
          <w:sz w:val="24"/>
          <w:szCs w:val="24"/>
        </w:rPr>
        <w:t xml:space="preserve"> koje imaju</w:t>
      </w:r>
      <w:r w:rsidR="00BA5D66">
        <w:rPr>
          <w:rFonts w:asciiTheme="majorHAnsi" w:hAnsiTheme="majorHAnsi"/>
          <w:sz w:val="24"/>
          <w:szCs w:val="24"/>
        </w:rPr>
        <w:t xml:space="preserve"> status</w:t>
      </w:r>
      <w:r w:rsidRPr="000E5525">
        <w:rPr>
          <w:rFonts w:asciiTheme="majorHAnsi" w:hAnsiTheme="majorHAnsi"/>
          <w:sz w:val="24"/>
          <w:szCs w:val="24"/>
        </w:rPr>
        <w:t xml:space="preserve"> </w:t>
      </w:r>
      <w:r w:rsidR="00E82F6C" w:rsidRPr="000E5525">
        <w:rPr>
          <w:rFonts w:asciiTheme="majorHAnsi" w:hAnsiTheme="majorHAnsi"/>
          <w:sz w:val="24"/>
          <w:szCs w:val="24"/>
        </w:rPr>
        <w:t>„Nije pokrenuto“</w:t>
      </w:r>
      <w:r w:rsidRPr="000E5525">
        <w:rPr>
          <w:rFonts w:asciiTheme="majorHAnsi" w:hAnsiTheme="majorHAnsi"/>
          <w:sz w:val="24"/>
          <w:szCs w:val="24"/>
        </w:rPr>
        <w:t>.</w:t>
      </w:r>
    </w:p>
    <w:sectPr w:rsidR="00B7338A" w:rsidRPr="00621D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717A0"/>
    <w:multiLevelType w:val="hybridMultilevel"/>
    <w:tmpl w:val="7FB6D912"/>
    <w:lvl w:ilvl="0" w:tplc="DB004C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00A3B"/>
    <w:multiLevelType w:val="hybridMultilevel"/>
    <w:tmpl w:val="88861E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E2039"/>
    <w:multiLevelType w:val="multilevel"/>
    <w:tmpl w:val="2B48B6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3F295BAB"/>
    <w:multiLevelType w:val="hybridMultilevel"/>
    <w:tmpl w:val="EB0A91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BC55BF"/>
    <w:multiLevelType w:val="hybridMultilevel"/>
    <w:tmpl w:val="E9F60E72"/>
    <w:lvl w:ilvl="0" w:tplc="610A30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250A91"/>
    <w:multiLevelType w:val="hybridMultilevel"/>
    <w:tmpl w:val="9244D7A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4F09B2"/>
    <w:multiLevelType w:val="hybridMultilevel"/>
    <w:tmpl w:val="615C6EF0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87211D3"/>
    <w:multiLevelType w:val="hybridMultilevel"/>
    <w:tmpl w:val="18C6D780"/>
    <w:lvl w:ilvl="0" w:tplc="A5BE09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5130693">
    <w:abstractNumId w:val="1"/>
  </w:num>
  <w:num w:numId="2" w16cid:durableId="814176331">
    <w:abstractNumId w:val="4"/>
  </w:num>
  <w:num w:numId="3" w16cid:durableId="2044400871">
    <w:abstractNumId w:val="0"/>
  </w:num>
  <w:num w:numId="4" w16cid:durableId="1354919230">
    <w:abstractNumId w:val="6"/>
  </w:num>
  <w:num w:numId="5" w16cid:durableId="1395615813">
    <w:abstractNumId w:val="3"/>
  </w:num>
  <w:num w:numId="6" w16cid:durableId="1893885581">
    <w:abstractNumId w:val="2"/>
  </w:num>
  <w:num w:numId="7" w16cid:durableId="1195390097">
    <w:abstractNumId w:val="7"/>
  </w:num>
  <w:num w:numId="8" w16cid:durableId="9332480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B2"/>
    <w:rsid w:val="00045368"/>
    <w:rsid w:val="000453AA"/>
    <w:rsid w:val="000464F9"/>
    <w:rsid w:val="00063671"/>
    <w:rsid w:val="00070844"/>
    <w:rsid w:val="000834EA"/>
    <w:rsid w:val="00092937"/>
    <w:rsid w:val="000A22E9"/>
    <w:rsid w:val="000A585C"/>
    <w:rsid w:val="000A5CE7"/>
    <w:rsid w:val="000E5525"/>
    <w:rsid w:val="00114B95"/>
    <w:rsid w:val="0011730F"/>
    <w:rsid w:val="00127054"/>
    <w:rsid w:val="001342F2"/>
    <w:rsid w:val="00161D4A"/>
    <w:rsid w:val="00172597"/>
    <w:rsid w:val="0018364F"/>
    <w:rsid w:val="001957B2"/>
    <w:rsid w:val="001A7F0A"/>
    <w:rsid w:val="001B03D2"/>
    <w:rsid w:val="001C41ED"/>
    <w:rsid w:val="001F2B50"/>
    <w:rsid w:val="002040C0"/>
    <w:rsid w:val="002056CD"/>
    <w:rsid w:val="0021417B"/>
    <w:rsid w:val="00223CDB"/>
    <w:rsid w:val="002415C1"/>
    <w:rsid w:val="002435CE"/>
    <w:rsid w:val="002461B0"/>
    <w:rsid w:val="00254664"/>
    <w:rsid w:val="00274C8A"/>
    <w:rsid w:val="00284097"/>
    <w:rsid w:val="00284397"/>
    <w:rsid w:val="002919FD"/>
    <w:rsid w:val="0029365D"/>
    <w:rsid w:val="002C224A"/>
    <w:rsid w:val="002F3ED1"/>
    <w:rsid w:val="0031215E"/>
    <w:rsid w:val="00320760"/>
    <w:rsid w:val="0037635D"/>
    <w:rsid w:val="00385580"/>
    <w:rsid w:val="003A38A2"/>
    <w:rsid w:val="003A4D4A"/>
    <w:rsid w:val="003B3934"/>
    <w:rsid w:val="003D7D3D"/>
    <w:rsid w:val="003E19C6"/>
    <w:rsid w:val="00426F83"/>
    <w:rsid w:val="00427E11"/>
    <w:rsid w:val="004349A0"/>
    <w:rsid w:val="0043526E"/>
    <w:rsid w:val="00436AF7"/>
    <w:rsid w:val="00453398"/>
    <w:rsid w:val="00457745"/>
    <w:rsid w:val="00457A51"/>
    <w:rsid w:val="00461D18"/>
    <w:rsid w:val="00466D1B"/>
    <w:rsid w:val="00491119"/>
    <w:rsid w:val="00491A7C"/>
    <w:rsid w:val="00493431"/>
    <w:rsid w:val="00496DB0"/>
    <w:rsid w:val="00496EB1"/>
    <w:rsid w:val="004A1A02"/>
    <w:rsid w:val="004A3886"/>
    <w:rsid w:val="004A7ABD"/>
    <w:rsid w:val="004B00BB"/>
    <w:rsid w:val="004E068B"/>
    <w:rsid w:val="004E49BF"/>
    <w:rsid w:val="00544ADF"/>
    <w:rsid w:val="00562EBB"/>
    <w:rsid w:val="00572567"/>
    <w:rsid w:val="005757B2"/>
    <w:rsid w:val="00592352"/>
    <w:rsid w:val="005A1C05"/>
    <w:rsid w:val="005A24E4"/>
    <w:rsid w:val="005B090E"/>
    <w:rsid w:val="005B36F5"/>
    <w:rsid w:val="005D2747"/>
    <w:rsid w:val="005E26D0"/>
    <w:rsid w:val="005F1CFA"/>
    <w:rsid w:val="005F59B9"/>
    <w:rsid w:val="006050F7"/>
    <w:rsid w:val="00621DAB"/>
    <w:rsid w:val="00635F53"/>
    <w:rsid w:val="00655BA4"/>
    <w:rsid w:val="006753B8"/>
    <w:rsid w:val="0068528A"/>
    <w:rsid w:val="006869E3"/>
    <w:rsid w:val="00690A77"/>
    <w:rsid w:val="00694358"/>
    <w:rsid w:val="0069796C"/>
    <w:rsid w:val="006E1F79"/>
    <w:rsid w:val="006E3FE2"/>
    <w:rsid w:val="006E6DF2"/>
    <w:rsid w:val="007032CD"/>
    <w:rsid w:val="00712E14"/>
    <w:rsid w:val="00714631"/>
    <w:rsid w:val="00761968"/>
    <w:rsid w:val="00770544"/>
    <w:rsid w:val="00774C68"/>
    <w:rsid w:val="00780A87"/>
    <w:rsid w:val="00796D9C"/>
    <w:rsid w:val="007C10ED"/>
    <w:rsid w:val="007E6C7C"/>
    <w:rsid w:val="00800D0B"/>
    <w:rsid w:val="00807536"/>
    <w:rsid w:val="00823E51"/>
    <w:rsid w:val="008508F1"/>
    <w:rsid w:val="0085183C"/>
    <w:rsid w:val="00855E72"/>
    <w:rsid w:val="00855FBC"/>
    <w:rsid w:val="00866A9D"/>
    <w:rsid w:val="00880150"/>
    <w:rsid w:val="008835CC"/>
    <w:rsid w:val="00895195"/>
    <w:rsid w:val="008A646E"/>
    <w:rsid w:val="008C7918"/>
    <w:rsid w:val="008D192F"/>
    <w:rsid w:val="008D545E"/>
    <w:rsid w:val="008D5B82"/>
    <w:rsid w:val="009005F8"/>
    <w:rsid w:val="00927644"/>
    <w:rsid w:val="00975EE3"/>
    <w:rsid w:val="00983664"/>
    <w:rsid w:val="00990BAF"/>
    <w:rsid w:val="009A57DE"/>
    <w:rsid w:val="009D1253"/>
    <w:rsid w:val="009D664B"/>
    <w:rsid w:val="009F564A"/>
    <w:rsid w:val="00A415A6"/>
    <w:rsid w:val="00A51932"/>
    <w:rsid w:val="00A56F31"/>
    <w:rsid w:val="00A57045"/>
    <w:rsid w:val="00A62F21"/>
    <w:rsid w:val="00A734F5"/>
    <w:rsid w:val="00A838FF"/>
    <w:rsid w:val="00A85086"/>
    <w:rsid w:val="00A95BFC"/>
    <w:rsid w:val="00AA1545"/>
    <w:rsid w:val="00AA3118"/>
    <w:rsid w:val="00AB0640"/>
    <w:rsid w:val="00AB3CF5"/>
    <w:rsid w:val="00AB535E"/>
    <w:rsid w:val="00AE05F2"/>
    <w:rsid w:val="00AF24C7"/>
    <w:rsid w:val="00B069AB"/>
    <w:rsid w:val="00B14F4E"/>
    <w:rsid w:val="00B214E8"/>
    <w:rsid w:val="00B30C0B"/>
    <w:rsid w:val="00B35BD5"/>
    <w:rsid w:val="00B70850"/>
    <w:rsid w:val="00B7338A"/>
    <w:rsid w:val="00BA5D66"/>
    <w:rsid w:val="00BC0C2D"/>
    <w:rsid w:val="00BC7578"/>
    <w:rsid w:val="00C1528A"/>
    <w:rsid w:val="00C225DA"/>
    <w:rsid w:val="00C32016"/>
    <w:rsid w:val="00C323C1"/>
    <w:rsid w:val="00C3461F"/>
    <w:rsid w:val="00C43B2F"/>
    <w:rsid w:val="00C45966"/>
    <w:rsid w:val="00C63ACA"/>
    <w:rsid w:val="00C70D65"/>
    <w:rsid w:val="00C856EB"/>
    <w:rsid w:val="00CB32E9"/>
    <w:rsid w:val="00CB7CAD"/>
    <w:rsid w:val="00CC7B1D"/>
    <w:rsid w:val="00CD0041"/>
    <w:rsid w:val="00CD4580"/>
    <w:rsid w:val="00CF0550"/>
    <w:rsid w:val="00CF241C"/>
    <w:rsid w:val="00D11EA1"/>
    <w:rsid w:val="00D34818"/>
    <w:rsid w:val="00D43CA3"/>
    <w:rsid w:val="00D84300"/>
    <w:rsid w:val="00D876AA"/>
    <w:rsid w:val="00D90F17"/>
    <w:rsid w:val="00D93B36"/>
    <w:rsid w:val="00D96896"/>
    <w:rsid w:val="00DA30BE"/>
    <w:rsid w:val="00DB4FF9"/>
    <w:rsid w:val="00DD063F"/>
    <w:rsid w:val="00DF4E97"/>
    <w:rsid w:val="00E0381B"/>
    <w:rsid w:val="00E10C09"/>
    <w:rsid w:val="00E30F7D"/>
    <w:rsid w:val="00E458C9"/>
    <w:rsid w:val="00E53D3F"/>
    <w:rsid w:val="00E55052"/>
    <w:rsid w:val="00E65AAD"/>
    <w:rsid w:val="00E67D5A"/>
    <w:rsid w:val="00E702C8"/>
    <w:rsid w:val="00E716F2"/>
    <w:rsid w:val="00E75E85"/>
    <w:rsid w:val="00E82F6C"/>
    <w:rsid w:val="00EA0D60"/>
    <w:rsid w:val="00EC4C3D"/>
    <w:rsid w:val="00EF59E1"/>
    <w:rsid w:val="00F35BA7"/>
    <w:rsid w:val="00F57734"/>
    <w:rsid w:val="00F76006"/>
    <w:rsid w:val="00F771AB"/>
    <w:rsid w:val="00F810FC"/>
    <w:rsid w:val="00F8249D"/>
    <w:rsid w:val="00F82E16"/>
    <w:rsid w:val="00F964BE"/>
    <w:rsid w:val="00FB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C9020"/>
  <w15:docId w15:val="{A21DF7C9-D07F-4956-98FD-C7FD04795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5CC"/>
  </w:style>
  <w:style w:type="paragraph" w:styleId="Naslov1">
    <w:name w:val="heading 1"/>
    <w:basedOn w:val="Normal"/>
    <w:next w:val="Normal"/>
    <w:link w:val="Naslov1Char"/>
    <w:uiPriority w:val="9"/>
    <w:qFormat/>
    <w:rsid w:val="00A838F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461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575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757B2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5757B2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uiPriority w:val="9"/>
    <w:rsid w:val="00A838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A838FF"/>
    <w:pPr>
      <w:outlineLvl w:val="9"/>
    </w:pPr>
    <w:rPr>
      <w:lang w:eastAsia="hr-HR"/>
    </w:rPr>
  </w:style>
  <w:style w:type="paragraph" w:styleId="Sadraj1">
    <w:name w:val="toc 1"/>
    <w:basedOn w:val="Normal"/>
    <w:next w:val="Normal"/>
    <w:autoRedefine/>
    <w:uiPriority w:val="39"/>
    <w:unhideWhenUsed/>
    <w:rsid w:val="00A838FF"/>
    <w:pPr>
      <w:spacing w:after="100"/>
    </w:pPr>
  </w:style>
  <w:style w:type="paragraph" w:styleId="Sadraj2">
    <w:name w:val="toc 2"/>
    <w:basedOn w:val="Normal"/>
    <w:next w:val="Normal"/>
    <w:autoRedefine/>
    <w:uiPriority w:val="39"/>
    <w:unhideWhenUsed/>
    <w:rsid w:val="00A838FF"/>
    <w:pPr>
      <w:spacing w:after="100"/>
      <w:ind w:left="220"/>
    </w:pPr>
  </w:style>
  <w:style w:type="paragraph" w:styleId="Sadraj3">
    <w:name w:val="toc 3"/>
    <w:basedOn w:val="Normal"/>
    <w:next w:val="Normal"/>
    <w:autoRedefine/>
    <w:uiPriority w:val="39"/>
    <w:unhideWhenUsed/>
    <w:rsid w:val="00A838FF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838FF"/>
    <w:rPr>
      <w:color w:val="0000FF" w:themeColor="hyperlink"/>
      <w:u w:val="single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876A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876AA"/>
    <w:rPr>
      <w:b/>
      <w:bCs/>
      <w:i/>
      <w:iCs/>
      <w:color w:val="4F81BD" w:themeColor="accent1"/>
    </w:rPr>
  </w:style>
  <w:style w:type="character" w:customStyle="1" w:styleId="Naslov2Char">
    <w:name w:val="Naslov 2 Char"/>
    <w:basedOn w:val="Zadanifontodlomka"/>
    <w:link w:val="Naslov2"/>
    <w:uiPriority w:val="9"/>
    <w:rsid w:val="002461B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Neupadljivoisticanje">
    <w:name w:val="Subtle Emphasis"/>
    <w:basedOn w:val="Zadanifontodlomka"/>
    <w:uiPriority w:val="19"/>
    <w:qFormat/>
    <w:rsid w:val="00E458C9"/>
    <w:rPr>
      <w:b/>
      <w:i w:val="0"/>
      <w:iCs/>
      <w:color w:val="404040" w:themeColor="text1" w:themeTint="BF"/>
    </w:rPr>
  </w:style>
  <w:style w:type="character" w:styleId="Istaknuto">
    <w:name w:val="Emphasis"/>
    <w:basedOn w:val="Zadanifontodlomka"/>
    <w:uiPriority w:val="20"/>
    <w:qFormat/>
    <w:rsid w:val="00E458C9"/>
    <w:rPr>
      <w:i/>
      <w:iCs/>
    </w:rPr>
  </w:style>
  <w:style w:type="paragraph" w:styleId="Bezproreda">
    <w:name w:val="No Spacing"/>
    <w:uiPriority w:val="1"/>
    <w:qFormat/>
    <w:rsid w:val="00E458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1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1395-9123-4A99-AB8A-5E949DC93E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1647</Words>
  <Characters>9388</Characters>
  <Application>Microsoft Office Word</Application>
  <DocSecurity>0</DocSecurity>
  <Lines>78</Lines>
  <Paragraphs>22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Novak</dc:creator>
  <cp:lastModifiedBy>Danijela Turk</cp:lastModifiedBy>
  <cp:revision>3</cp:revision>
  <cp:lastPrinted>2026-02-11T09:06:00Z</cp:lastPrinted>
  <dcterms:created xsi:type="dcterms:W3CDTF">2026-02-11T09:06:00Z</dcterms:created>
  <dcterms:modified xsi:type="dcterms:W3CDTF">2026-02-11T09:07:00Z</dcterms:modified>
</cp:coreProperties>
</file>