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1465F1" w:rsidRPr="001465F1" w14:paraId="68E333FA" w14:textId="77777777" w:rsidTr="00C739F3">
        <w:tc>
          <w:tcPr>
            <w:tcW w:w="3333" w:type="dxa"/>
            <w:gridSpan w:val="2"/>
          </w:tcPr>
          <w:p w14:paraId="6FF25CCC" w14:textId="77777777" w:rsidR="001465F1" w:rsidRPr="001465F1" w:rsidRDefault="001465F1" w:rsidP="001465F1">
            <w:pPr>
              <w:spacing w:after="40" w:line="276" w:lineRule="auto"/>
              <w:jc w:val="right"/>
            </w:pPr>
            <w:r w:rsidRPr="001465F1">
              <w:rPr>
                <w:noProof/>
                <w:lang w:eastAsia="hr-HR"/>
              </w:rPr>
              <w:drawing>
                <wp:inline distT="0" distB="0" distL="0" distR="0" wp14:anchorId="6B514F8E" wp14:editId="2965ED4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FDEFED6" w14:textId="661CBC64" w:rsidR="001465F1" w:rsidRPr="008D3996" w:rsidRDefault="001465F1" w:rsidP="008D3996">
            <w:pPr>
              <w:spacing w:line="276" w:lineRule="auto"/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1465F1" w:rsidRPr="001465F1" w14:paraId="536F0ED8" w14:textId="77777777" w:rsidTr="00C739F3">
        <w:tc>
          <w:tcPr>
            <w:tcW w:w="818" w:type="dxa"/>
          </w:tcPr>
          <w:p w14:paraId="6F4DEEA9" w14:textId="77777777" w:rsidR="001465F1" w:rsidRPr="001465F1" w:rsidRDefault="001465F1" w:rsidP="001465F1">
            <w:pPr>
              <w:spacing w:line="276" w:lineRule="auto"/>
              <w:rPr>
                <w:sz w:val="24"/>
                <w:szCs w:val="24"/>
              </w:rPr>
            </w:pPr>
            <w:r w:rsidRPr="001465F1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464D8068" wp14:editId="26440307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BC9B85E" w14:textId="77777777" w:rsidR="001465F1" w:rsidRPr="001465F1" w:rsidRDefault="001465F1" w:rsidP="001465F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465F1">
              <w:rPr>
                <w:b/>
                <w:sz w:val="24"/>
                <w:szCs w:val="24"/>
              </w:rPr>
              <w:t>REPUBLIKA HRVATSKA</w:t>
            </w:r>
          </w:p>
          <w:p w14:paraId="24B2A213" w14:textId="77777777" w:rsidR="001465F1" w:rsidRPr="001465F1" w:rsidRDefault="001465F1" w:rsidP="001465F1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1465F1">
              <w:rPr>
                <w:b/>
                <w:sz w:val="24"/>
                <w:szCs w:val="24"/>
              </w:rPr>
              <w:t>MEĐIMURSKA ŽUPANIJA</w:t>
            </w:r>
            <w:r w:rsidRPr="001465F1">
              <w:rPr>
                <w:b/>
                <w:sz w:val="24"/>
                <w:szCs w:val="24"/>
              </w:rPr>
              <w:br/>
              <w:t>OPĆINA SVETI JURAJ NA BREGU</w:t>
            </w:r>
            <w:r w:rsidRPr="001465F1">
              <w:rPr>
                <w:b/>
                <w:sz w:val="24"/>
                <w:szCs w:val="24"/>
              </w:rPr>
              <w:br/>
            </w:r>
            <w:r w:rsidRPr="001465F1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74008805" w14:textId="6D09118E" w:rsidR="001465F1" w:rsidRPr="001465F1" w:rsidRDefault="001465F1" w:rsidP="001465F1">
            <w:pPr>
              <w:spacing w:line="276" w:lineRule="auto"/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66994504" w14:textId="77777777" w:rsidR="001465F1" w:rsidRPr="001465F1" w:rsidRDefault="001465F1" w:rsidP="001465F1">
      <w:pPr>
        <w:spacing w:after="0" w:line="276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0F98E69" w14:textId="7BBCDA36" w:rsidR="001465F1" w:rsidRPr="005F422E" w:rsidRDefault="001465F1" w:rsidP="001465F1">
      <w:pPr>
        <w:spacing w:after="0" w:line="276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F422E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KLASA: </w:t>
      </w:r>
      <w:r w:rsidR="00B80707" w:rsidRPr="00B80707">
        <w:rPr>
          <w:rFonts w:ascii="Times New Roman" w:hAnsi="Times New Roman" w:cs="Times New Roman"/>
          <w:kern w:val="0"/>
          <w:sz w:val="24"/>
          <w:szCs w:val="24"/>
          <w14:ligatures w14:val="none"/>
        </w:rPr>
        <w:t>400-07/24-01/07</w:t>
      </w:r>
      <w:r w:rsidR="00B80707" w:rsidRPr="00B80707">
        <w:rPr>
          <w:rFonts w:ascii="Times New Roman" w:hAnsi="Times New Roman" w:cs="Times New Roman"/>
          <w:kern w:val="0"/>
          <w:sz w:val="24"/>
          <w:szCs w:val="24"/>
          <w14:ligatures w14:val="none"/>
        </w:rPr>
        <w:tab/>
      </w:r>
    </w:p>
    <w:p w14:paraId="20D91176" w14:textId="3DEFB427" w:rsidR="001465F1" w:rsidRPr="005F422E" w:rsidRDefault="001465F1" w:rsidP="001465F1">
      <w:pPr>
        <w:spacing w:after="0" w:line="276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F422E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URBROJ: </w:t>
      </w:r>
      <w:r w:rsidR="00B80707" w:rsidRPr="00B80707">
        <w:rPr>
          <w:rFonts w:ascii="Times New Roman" w:hAnsi="Times New Roman" w:cs="Times New Roman"/>
          <w:kern w:val="0"/>
          <w:sz w:val="24"/>
          <w:szCs w:val="24"/>
          <w14:ligatures w14:val="none"/>
        </w:rPr>
        <w:t>2109-16-03-25-3</w:t>
      </w:r>
    </w:p>
    <w:p w14:paraId="427FA200" w14:textId="4F0FD8D9" w:rsidR="001465F1" w:rsidRPr="001465F1" w:rsidRDefault="001465F1" w:rsidP="001465F1">
      <w:pPr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Pleškovec, </w:t>
      </w:r>
      <w:r w:rsidR="00486CC2">
        <w:rPr>
          <w:rFonts w:ascii="Times New Roman" w:hAnsi="Times New Roman" w:cs="Times New Roman"/>
          <w:kern w:val="0"/>
          <w:sz w:val="24"/>
          <w:szCs w:val="24"/>
          <w14:ligatures w14:val="none"/>
        </w:rPr>
        <w:t>17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prosinca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2025.</w:t>
      </w:r>
    </w:p>
    <w:p w14:paraId="3576B470" w14:textId="77777777" w:rsidR="001465F1" w:rsidRPr="001465F1" w:rsidRDefault="001465F1" w:rsidP="001465F1">
      <w:pPr>
        <w:spacing w:after="0" w:line="276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5F50FBF" w14:textId="7E493BBD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Na temelju članka 144. stavak 5. Zakona o proračunu („Narodne novine“ broj 144/21) i članka 28. Statuta Općine Sveti Juraj na Bregu („Službeni glasnik Međimurske županije“, broj 30/23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i 04/25</w:t>
      </w: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Općinsko vijeće Općine Sveti Juraj na Bregu na svojoj 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>0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6</w:t>
      </w: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. sjednici održanoj</w:t>
      </w:r>
      <w:r w:rsidR="00486CC2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17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prosinca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2025. godine donijelo je </w:t>
      </w:r>
    </w:p>
    <w:p w14:paraId="4569CACF" w14:textId="77777777" w:rsidR="001465F1" w:rsidRPr="001465F1" w:rsidRDefault="001465F1" w:rsidP="001465F1">
      <w:pPr>
        <w:spacing w:after="0" w:line="276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696386D" w14:textId="74791212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I</w:t>
      </w:r>
      <w:r w:rsidR="008D3996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I</w:t>
      </w: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 xml:space="preserve">. IZMJENE I DOPUNE ODLUKE O IZVRŠAVANJU PRORAČUNA </w:t>
      </w:r>
    </w:p>
    <w:p w14:paraId="4BFF5D2D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OPĆINE</w:t>
      </w:r>
      <w:r w:rsidRPr="001465F1">
        <w:rPr>
          <w:rFonts w:ascii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SVETI JURAJ NA BREGU</w:t>
      </w:r>
    </w:p>
    <w:p w14:paraId="1EA66E4D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ZA 2025. GODINU</w:t>
      </w:r>
    </w:p>
    <w:p w14:paraId="71E24979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1129AE6E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07157507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1.</w:t>
      </w:r>
    </w:p>
    <w:p w14:paraId="5D373075" w14:textId="63B73698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Ovim I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>I</w:t>
      </w: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. izmjenama i dopunama Odluke utvrđuje se način izvršavanja Proračuna Općine Sveti Juraj na Bregu za 2025. godinu (u daljnjem tekstu: Proračun), upravljanje prihodima i primicima, rashodima i izdacima, opseg zaduživanja, propisuju prava i obveze svih proračunskih korisnika, pojedine ovlasti načelnika te druga pitanja o izvršavanju Proračuna Općine Sveti Juraj na Bregu za 2025. godinu.</w:t>
      </w:r>
    </w:p>
    <w:p w14:paraId="294AEB12" w14:textId="77777777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A28E0F7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2.</w:t>
      </w:r>
    </w:p>
    <w:p w14:paraId="4D4B2BE3" w14:textId="77777777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U izvršavanju Proračuna primjenjuju se odredbe Zakona o proračunu. </w:t>
      </w:r>
    </w:p>
    <w:p w14:paraId="57DF7A3B" w14:textId="77777777" w:rsidR="001465F1" w:rsidRPr="001465F1" w:rsidRDefault="001465F1" w:rsidP="001465F1">
      <w:pPr>
        <w:spacing w:after="0" w:line="276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3611050" w14:textId="77777777" w:rsidR="001465F1" w:rsidRPr="001465F1" w:rsidRDefault="001465F1" w:rsidP="001465F1">
      <w:pPr>
        <w:spacing w:after="0" w:line="276" w:lineRule="auto"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3.</w:t>
      </w:r>
    </w:p>
    <w:p w14:paraId="2DBB8F9A" w14:textId="77777777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i primici raspoređuju se i iskazuju u Proračunu prema izvorima iz kojih potječu.</w:t>
      </w:r>
    </w:p>
    <w:p w14:paraId="5A317F3F" w14:textId="328EFBEC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Rashodi i izdaci Proračuna moraju biti raspoređeni u Proračunu prema proračunskim klasifikacijama, te uravnoteženi s prihodima i primicima.</w:t>
      </w:r>
    </w:p>
    <w:p w14:paraId="37EB870D" w14:textId="77777777" w:rsidR="001465F1" w:rsidRPr="001465F1" w:rsidRDefault="001465F1" w:rsidP="001465F1">
      <w:pPr>
        <w:spacing w:after="0" w:line="276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Klasifikacija Proračuna:</w:t>
      </w:r>
    </w:p>
    <w:p w14:paraId="61A8DE87" w14:textId="77777777" w:rsidR="001465F1" w:rsidRPr="001465F1" w:rsidRDefault="001465F1" w:rsidP="001465F1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organizacijska,</w:t>
      </w:r>
    </w:p>
    <w:p w14:paraId="266DD4F5" w14:textId="77777777" w:rsidR="001465F1" w:rsidRPr="001465F1" w:rsidRDefault="001465F1" w:rsidP="001465F1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ekonomska,</w:t>
      </w:r>
    </w:p>
    <w:p w14:paraId="5E8F94C4" w14:textId="77777777" w:rsidR="001465F1" w:rsidRPr="001465F1" w:rsidRDefault="001465F1" w:rsidP="001465F1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funkcijska,</w:t>
      </w:r>
    </w:p>
    <w:p w14:paraId="454B1445" w14:textId="77777777" w:rsidR="001465F1" w:rsidRPr="001465F1" w:rsidRDefault="001465F1" w:rsidP="001465F1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lokacijska,</w:t>
      </w:r>
    </w:p>
    <w:p w14:paraId="6C557893" w14:textId="77777777" w:rsidR="001465F1" w:rsidRPr="001465F1" w:rsidRDefault="001465F1" w:rsidP="001465F1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programska i </w:t>
      </w:r>
    </w:p>
    <w:p w14:paraId="58CEE3BF" w14:textId="304DB01C" w:rsidR="001465F1" w:rsidRPr="008D3996" w:rsidRDefault="001465F1" w:rsidP="008D3996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izvori financiranja.</w:t>
      </w:r>
    </w:p>
    <w:p w14:paraId="1403FDF1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lastRenderedPageBreak/>
        <w:t>Članak 4.</w:t>
      </w:r>
    </w:p>
    <w:p w14:paraId="7831BB13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</w:pPr>
      <w:r w:rsidRPr="001465F1"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  <w:t>Proračun se sastoji od plana za proračunsku godinu i projekcija za sljedeće dvije godine, a sadrži financijske planove proračunskih korisnika prikazane kroz opći i posebni dio i obrazloženje proračuna.</w:t>
      </w:r>
    </w:p>
    <w:p w14:paraId="26E2AE68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</w:pPr>
    </w:p>
    <w:p w14:paraId="614991D6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</w:pPr>
      <w:r w:rsidRPr="001465F1"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  <w:t>Opći dio proračuna sadrži:</w:t>
      </w:r>
    </w:p>
    <w:p w14:paraId="5E6CB893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</w:pPr>
      <w:r w:rsidRPr="001465F1"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  <w:t>– sažetak Računa prihoda i rashoda i Računa financiranja</w:t>
      </w:r>
    </w:p>
    <w:p w14:paraId="0BF1C695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</w:pPr>
      <w:r w:rsidRPr="001465F1"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  <w:t>– Račun prihoda i rashoda i Račun financiranja.</w:t>
      </w:r>
    </w:p>
    <w:p w14:paraId="555BFA2D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0"/>
          <w:szCs w:val="20"/>
          <w:lang w:eastAsia="hr-HR"/>
          <w14:ligatures w14:val="none"/>
        </w:rPr>
      </w:pPr>
    </w:p>
    <w:p w14:paraId="44996517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jc w:val="both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</w:pPr>
      <w:r w:rsidRPr="001465F1"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  <w:t>Posebni dio proračuna sastoji se od plana rashoda i izdataka jedinice lokalne i područne (regionalne) samouprave i njihovih proračunskih korisnika iskazanih po organizacijskoj klasifikaciji, izvorima financiranja i ekonomskoj klasifikaciji, raspoređenih u programe koji se sastoje od aktivnosti i projekata.</w:t>
      </w:r>
    </w:p>
    <w:p w14:paraId="4BC80DE7" w14:textId="77777777" w:rsidR="001465F1" w:rsidRPr="001465F1" w:rsidRDefault="001465F1" w:rsidP="001465F1">
      <w:pPr>
        <w:shd w:val="clear" w:color="auto" w:fill="FFFFFF"/>
        <w:spacing w:beforeLines="30" w:before="72" w:afterLines="30" w:after="72" w:line="240" w:lineRule="auto"/>
        <w:textAlignment w:val="baseline"/>
        <w:rPr>
          <w:rFonts w:ascii="Times New Roman" w:eastAsia="Times New Roman" w:hAnsi="Times New Roman" w:cs="Times New Roman"/>
          <w:color w:val="231F20"/>
          <w:kern w:val="0"/>
          <w:sz w:val="20"/>
          <w:szCs w:val="20"/>
          <w:lang w:eastAsia="hr-HR"/>
          <w14:ligatures w14:val="none"/>
        </w:rPr>
      </w:pPr>
    </w:p>
    <w:p w14:paraId="54CA3BFF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eastAsia="Times New Roman" w:hAnsi="Times New Roman" w:cs="Times New Roman"/>
          <w:color w:val="231F20"/>
          <w:kern w:val="0"/>
          <w:sz w:val="24"/>
          <w:szCs w:val="24"/>
          <w:lang w:eastAsia="hr-HR"/>
          <w14:ligatures w14:val="none"/>
        </w:rPr>
        <w:t>Obrazloženje proračuna sastoji se od obrazloženja općeg dijela proračuna i obrazloženja posebnog dijela proračuna.</w:t>
      </w:r>
    </w:p>
    <w:p w14:paraId="6D6C80BF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6941ACA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5.</w:t>
      </w:r>
    </w:p>
    <w:p w14:paraId="2AD4BDE1" w14:textId="77777777" w:rsidR="001465F1" w:rsidRPr="001465F1" w:rsidRDefault="001465F1" w:rsidP="001465F1">
      <w:pPr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Račun prihoda i rashoda sastoji se od sljedećeg:</w:t>
      </w:r>
    </w:p>
    <w:p w14:paraId="3E853C60" w14:textId="77777777" w:rsidR="001465F1" w:rsidRPr="001465F1" w:rsidRDefault="001465F1" w:rsidP="001465F1">
      <w:pPr>
        <w:numPr>
          <w:ilvl w:val="0"/>
          <w:numId w:val="4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Prihodi:</w:t>
      </w:r>
    </w:p>
    <w:p w14:paraId="186A0E56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od poreza,</w:t>
      </w:r>
    </w:p>
    <w:p w14:paraId="37B4BC74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pomoći iz inozemstva i od subjekata unutar općeg proračuna,</w:t>
      </w:r>
    </w:p>
    <w:p w14:paraId="2BAE855C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od imovine,</w:t>
      </w:r>
    </w:p>
    <w:p w14:paraId="613EDE61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od upravnih i administrativnih pristojbi, pristojbi po posebnim propisima i naknada,</w:t>
      </w:r>
    </w:p>
    <w:p w14:paraId="43E625C6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od prodaje proizvoda i robe te pruženih usluga i prihodi od donacija,</w:t>
      </w:r>
    </w:p>
    <w:p w14:paraId="6F440467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iz nadležnog proračuna i od HZZO-a temeljem ugovornih obveza,</w:t>
      </w:r>
    </w:p>
    <w:p w14:paraId="1F69DDB4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kazne, upravne mjere i ostali prihodi,</w:t>
      </w:r>
    </w:p>
    <w:p w14:paraId="3B6B06A7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od prodaje neproizvedene dugotrajne imovine i</w:t>
      </w:r>
    </w:p>
    <w:p w14:paraId="13EAFA5B" w14:textId="77777777" w:rsidR="001465F1" w:rsidRPr="001465F1" w:rsidRDefault="001465F1" w:rsidP="001465F1">
      <w:pPr>
        <w:numPr>
          <w:ilvl w:val="0"/>
          <w:numId w:val="1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od prodaje proizvedene dugotrajne imovine.</w:t>
      </w:r>
    </w:p>
    <w:p w14:paraId="389325B0" w14:textId="77777777" w:rsidR="001465F1" w:rsidRPr="001465F1" w:rsidRDefault="001465F1" w:rsidP="001465F1">
      <w:pPr>
        <w:numPr>
          <w:ilvl w:val="0"/>
          <w:numId w:val="4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Rashodi:</w:t>
      </w:r>
    </w:p>
    <w:p w14:paraId="0019A65C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rashodi za zaposlene,</w:t>
      </w:r>
    </w:p>
    <w:p w14:paraId="730FCD98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materijalni rashodi,</w:t>
      </w:r>
    </w:p>
    <w:p w14:paraId="404F2693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financijski rashodi, </w:t>
      </w:r>
    </w:p>
    <w:p w14:paraId="37879B50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subvencije,</w:t>
      </w:r>
    </w:p>
    <w:p w14:paraId="685E1198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pomoći dane u inozemstvo i unutar općeg proračuna,</w:t>
      </w:r>
    </w:p>
    <w:p w14:paraId="7BD5E3A2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naknade građanima i kućanstvima na temelju osiguranja i druge naknade,</w:t>
      </w:r>
    </w:p>
    <w:p w14:paraId="578AC1E0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rashodi za donacije, kazne, naknade šteta i kapitalne pomoći</w:t>
      </w:r>
    </w:p>
    <w:p w14:paraId="013C8A51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rashodi za nabavu neproizvedene dugotrajne imovine,</w:t>
      </w:r>
    </w:p>
    <w:p w14:paraId="0A92F409" w14:textId="77777777" w:rsidR="001465F1" w:rsidRPr="001465F1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rashodi za nabavu proizvedene dugotrajne imovine i</w:t>
      </w:r>
    </w:p>
    <w:p w14:paraId="42A8AFFF" w14:textId="77777777" w:rsidR="001465F1" w:rsidRPr="005F422E" w:rsidRDefault="001465F1" w:rsidP="001465F1">
      <w:pPr>
        <w:numPr>
          <w:ilvl w:val="0"/>
          <w:numId w:val="2"/>
        </w:numPr>
        <w:suppressAutoHyphens/>
        <w:spacing w:after="0" w:line="276" w:lineRule="auto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rashodi za dodatna ulaganja na nefinancijskoj imovini.</w:t>
      </w:r>
    </w:p>
    <w:p w14:paraId="0F7295A8" w14:textId="77777777" w:rsidR="005F422E" w:rsidRDefault="005F422E" w:rsidP="005F422E">
      <w:pPr>
        <w:suppressAutoHyphens/>
        <w:spacing w:after="0" w:line="276" w:lineRule="auto"/>
        <w:ind w:left="1080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0C77D8FC" w14:textId="77777777" w:rsidR="008D3996" w:rsidRPr="001465F1" w:rsidRDefault="008D3996" w:rsidP="005F422E">
      <w:pPr>
        <w:suppressAutoHyphens/>
        <w:spacing w:after="0" w:line="276" w:lineRule="auto"/>
        <w:ind w:left="1080"/>
        <w:contextualSpacing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5C74ADDA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lastRenderedPageBreak/>
        <w:t>Članak 6.</w:t>
      </w:r>
    </w:p>
    <w:p w14:paraId="033E6F0C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Prihodi Proračuna ubiru se i uplaćuju u Proračun u skladu sa zakonskim ili drugim propisima, neovisno o visini prihoda planiranih u Proračunu.</w:t>
      </w:r>
    </w:p>
    <w:p w14:paraId="0D36D396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color w:val="FF0000"/>
          <w:kern w:val="0"/>
          <w:sz w:val="24"/>
          <w:szCs w:val="24"/>
          <w14:ligatures w14:val="none"/>
        </w:rPr>
      </w:pPr>
    </w:p>
    <w:p w14:paraId="0B5FEC20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Vlastiti i namjenski prihodi proračunskog korisnika (Dječji vrtić „Jurovska pčelica“ Lopatinec) planiraju se u Proračunu, ali ih proračunski korisnik nije dužan uplaćivati u Proračun, već se troše prema potrebama i planovima proračunskog korisnika.</w:t>
      </w:r>
    </w:p>
    <w:p w14:paraId="79F24ECB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5FC5C81E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Za potrebe izrade konsolidiranih izvještaja proračunski korisnik tromjesečno izvještava o strukturi ostvarenih i utrošenih vlastitih prihoda.</w:t>
      </w:r>
    </w:p>
    <w:p w14:paraId="419B224E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77FEA64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Proračunski korisnik može preuzimati obveze najaviše do visine sredstva osiguranih u proračunu.</w:t>
      </w:r>
    </w:p>
    <w:p w14:paraId="014FF94A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41B4234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7.</w:t>
      </w:r>
    </w:p>
    <w:p w14:paraId="54C7B92E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Sredstva  za potrebe udruga građana,  DVD-a, udruga sporta i kulture, socijalne skrbi i slično isplaćivat će se na temelju provedenog natječaja, dostavljenih i od strane općinskog načelnika prihvaćenih programa rada, zamolbi i zahtjeva za 2025. godinu.</w:t>
      </w:r>
    </w:p>
    <w:p w14:paraId="0D17FB7F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6C17EC2F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Sredstva iz prethodnog stavka ovog članka dostavljaju se na njihove račune mjesečno, tromjesečno, polugodišnje ili godišnje, ovisno o potrebama odnosno dinamici pritjecanja sredstava u Proračun.</w:t>
      </w:r>
    </w:p>
    <w:p w14:paraId="6CCCB7FD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4BB5AED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Sredstva za isplatu stipendije i sufinanciranje cijene dječjih vrtića isplaćuju se mjesečno na račune korisnika ili davatelja usluga.</w:t>
      </w:r>
    </w:p>
    <w:p w14:paraId="229BECDF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52DAF862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8.</w:t>
      </w:r>
    </w:p>
    <w:p w14:paraId="3577AB7B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Korisnici sredstava Proračuna dužni su prije korištenja sredstava u 2025. godini, dostaviti pisano izvješće o trošenju sredstva Proračuna u 2024. godini.</w:t>
      </w:r>
    </w:p>
    <w:p w14:paraId="4AFA6C65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41D28F3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Izvješća se moraju obavezno dostaviti do roka za podnošenje godišnjih obračuna utvrđenih zakonom.</w:t>
      </w:r>
    </w:p>
    <w:p w14:paraId="6DB8A5FA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5FC44E65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Do izvršenja obveze iz stavka 1. ovog članka korisnicima sredstava Proračuna neće se dodjeljivati sredstava iz Proračuna.</w:t>
      </w:r>
    </w:p>
    <w:p w14:paraId="09006C29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04210D9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9.</w:t>
      </w:r>
    </w:p>
    <w:p w14:paraId="318D3843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Pomoćima iz državnog i županijskog proračuna financirat će se dogovoreni i ugovoreni projekti Općine ili održavanje kapitalnih objekata ili slično. </w:t>
      </w:r>
    </w:p>
    <w:p w14:paraId="11B43DAE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AAEFFCC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10.</w:t>
      </w:r>
    </w:p>
    <w:p w14:paraId="369808CE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Proračun se izvršava od 01. siječnja do 31. prosinca 2025. godine.</w:t>
      </w:r>
    </w:p>
    <w:p w14:paraId="01969C8F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A00C5A3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>Sredstvima Proračuna raspolaže i naredbodavac za izvršenje općinskog Proračuna je općinski načelnik, s pravom samostalnog raspolaganja iznosom određenim u Statutu Općine Sveti Juraj na Bregu.</w:t>
      </w:r>
    </w:p>
    <w:p w14:paraId="5AAAADB8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60D75754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11.</w:t>
      </w:r>
    </w:p>
    <w:p w14:paraId="403E0DD4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Postupak nabave roba i usluga, te ustupanje radova odvija se u sladu sa Zakonom o javnoj nabavi („Narodne novine“, broj 120/16 i 114/22), Zakonom o koncesijama („Narodne novine“, broj 69/17 i 107/20), Zakonom o komunalnom gospodarstvu („Narodne novine“, broj 68/18, 110/18, 32/20 i 145/24) i Planom nabave kojeg je temeljem Proračuna donio općinski načelnik.</w:t>
      </w:r>
    </w:p>
    <w:p w14:paraId="27A54F77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BE64CB8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12.</w:t>
      </w:r>
    </w:p>
    <w:p w14:paraId="1D19E312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Postupak zaduživanja na teret Općinskog Proračuna obavlja se sukladno odredbama Zakona o proračunu (“Narodne novine“ broj 144/21) i Pravilnika o postupku dugoročnog zaduživanja, te davanja jamstava i suglasnosti jedinica lokalne i područne (regionalne) samouprave („Narodne novine“ broj 67/22). </w:t>
      </w:r>
    </w:p>
    <w:p w14:paraId="0528F42C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Općina Sveti Juraj na Bregu izdala je jamstvo Međimurskim vodama d.o.o. Čakovec za zaduživanje kod HBOR-a u iznosu od 313.242,36 EUR za kredit za financiranje Sustava odvodnje i pročišćavanja otpadnih voda aglomeracije Čakovec. </w:t>
      </w:r>
    </w:p>
    <w:p w14:paraId="0F2BEC2B" w14:textId="77777777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Općina Sveti Juraj na Bregu će se u 2025. godini zadužiti za dugoročni kredit u iznosu od 1.500.000,00 EUR. </w:t>
      </w:r>
    </w:p>
    <w:p w14:paraId="230FD93B" w14:textId="77777777" w:rsidR="001465F1" w:rsidRPr="001465F1" w:rsidRDefault="001465F1" w:rsidP="001465F1">
      <w:pPr>
        <w:spacing w:after="0" w:line="276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Dug po dugoročnim kreditima na kraju 2025. godine očekuje se u iznosu od 1.547.200,00 EUR.</w:t>
      </w:r>
    </w:p>
    <w:p w14:paraId="320D7B56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4A414FFC" w14:textId="77777777" w:rsidR="001465F1" w:rsidRPr="001465F1" w:rsidRDefault="001465F1" w:rsidP="001465F1">
      <w:pPr>
        <w:spacing w:after="0" w:line="276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13.</w:t>
      </w:r>
    </w:p>
    <w:p w14:paraId="46A643CC" w14:textId="6CCBFE3B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Ove I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>I</w:t>
      </w: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>. izmjene i dopune Odluke stupaju na snagu osmog dana od dana objave u „Službenom glasniku Međimurske županije“.</w:t>
      </w:r>
    </w:p>
    <w:p w14:paraId="7383CD5C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226A43FA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61BE838B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PREDSJEDNIK</w:t>
      </w:r>
    </w:p>
    <w:p w14:paraId="64C94E66" w14:textId="7777777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Općinskog vijeća</w:t>
      </w:r>
    </w:p>
    <w:p w14:paraId="19D19645" w14:textId="33924A97" w:rsidR="001465F1" w:rsidRPr="001465F1" w:rsidRDefault="001465F1" w:rsidP="001465F1">
      <w:pPr>
        <w:spacing w:after="0" w:line="276" w:lineRule="auto"/>
        <w:contextualSpacing/>
        <w:jc w:val="both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  <w:r w:rsidRPr="001465F1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</w:t>
      </w:r>
      <w:r w:rsidR="008D399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Damir Novak</w:t>
      </w:r>
    </w:p>
    <w:p w14:paraId="187E882C" w14:textId="77777777" w:rsidR="001465F1" w:rsidRPr="001465F1" w:rsidRDefault="001465F1" w:rsidP="001465F1">
      <w:pPr>
        <w:spacing w:after="0" w:line="27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493AAED0" w14:textId="77777777" w:rsidR="001465F1" w:rsidRPr="001465F1" w:rsidRDefault="001465F1" w:rsidP="001465F1">
      <w:pPr>
        <w:spacing w:after="0" w:line="27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4E1A464A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  <w:sz w:val="24"/>
        <w:szCs w:val="24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6"/>
    <w:multiLevelType w:val="singleLevel"/>
    <w:tmpl w:val="E0328594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sz w:val="24"/>
        <w:szCs w:val="24"/>
      </w:rPr>
    </w:lvl>
  </w:abstractNum>
  <w:num w:numId="1" w16cid:durableId="758328089">
    <w:abstractNumId w:val="0"/>
  </w:num>
  <w:num w:numId="2" w16cid:durableId="1706515162">
    <w:abstractNumId w:val="1"/>
  </w:num>
  <w:num w:numId="3" w16cid:durableId="1844969843">
    <w:abstractNumId w:val="2"/>
  </w:num>
  <w:num w:numId="4" w16cid:durableId="3510307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5F1"/>
    <w:rsid w:val="000958B3"/>
    <w:rsid w:val="001465F1"/>
    <w:rsid w:val="00181F5A"/>
    <w:rsid w:val="00300E51"/>
    <w:rsid w:val="0043678E"/>
    <w:rsid w:val="00486CC2"/>
    <w:rsid w:val="005F422E"/>
    <w:rsid w:val="00801346"/>
    <w:rsid w:val="00811FA2"/>
    <w:rsid w:val="008D3996"/>
    <w:rsid w:val="00B80707"/>
    <w:rsid w:val="00BA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1E62C"/>
  <w15:chartTrackingRefBased/>
  <w15:docId w15:val="{B56EDC6D-2F15-429D-9562-E224E2CE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1465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465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465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465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465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465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465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465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465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465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465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465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465F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465F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465F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465F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465F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465F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465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465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465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465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465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465F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465F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465F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465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465F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465F1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1465F1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1013</Words>
  <Characters>5779</Characters>
  <Application>Microsoft Office Word</Application>
  <DocSecurity>0</DocSecurity>
  <Lines>48</Lines>
  <Paragraphs>13</Paragraphs>
  <ScaleCrop>false</ScaleCrop>
  <Company/>
  <LinksUpToDate>false</LinksUpToDate>
  <CharactersWithSpaces>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dcterms:created xsi:type="dcterms:W3CDTF">2025-02-21T06:55:00Z</dcterms:created>
  <dcterms:modified xsi:type="dcterms:W3CDTF">2025-12-17T06:04:00Z</dcterms:modified>
</cp:coreProperties>
</file>