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4A3E6CA0" w:rsidR="00C83F9B" w:rsidRPr="00EB6092" w:rsidRDefault="00017199" w:rsidP="00E46159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prijedloga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P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korištenja sredst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naknade za zadržavanje nezakonito izgrađene zgrade u prostoru na području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7CF0F16D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korištenja sredst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naknade za zadržavanje nezakonito izgrađene zgrade u prostoru na području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665FBDFB" w:rsidR="00017199" w:rsidRPr="00B53A74" w:rsidRDefault="00E4615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3A1688A7" w:rsidR="00017199" w:rsidRPr="002C7529" w:rsidRDefault="0013733D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 korištenja sredst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va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naknade za zadržavanje nezakonito izgrađene zgrade u prostoru na području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0BD459E3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korištenja sredst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naknade za zadržavanje nezakonito izgrađene zgrade u prostoru na području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5F131E9F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rogram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korištenja sredstav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naknade za zadržavanje nezakonito izgrađene zgrade u prostoru na području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13733D" w:rsidRPr="0013733D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za 2026. godinu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13733D"/>
    <w:rsid w:val="002C7529"/>
    <w:rsid w:val="00325646"/>
    <w:rsid w:val="0037044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2025-12-08T12:21:00Z</dcterms:modified>
</cp:coreProperties>
</file>