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59A602" w14:textId="77777777" w:rsidR="00E732EF" w:rsidRPr="00E732EF" w:rsidRDefault="00E732EF" w:rsidP="00E732EF">
      <w:pPr>
        <w:spacing w:after="0" w:line="240" w:lineRule="auto"/>
        <w:rPr>
          <w:rFonts w:ascii="Times New Roman" w:eastAsia="Calibri" w:hAnsi="Times New Roman" w:cs="Arial"/>
        </w:rPr>
      </w:pPr>
      <w:r w:rsidRPr="00E732EF">
        <w:rPr>
          <w:rFonts w:ascii="Times New Roman" w:eastAsia="Calibri" w:hAnsi="Times New Roman" w:cs="Arial"/>
        </w:rPr>
        <w:t xml:space="preserve">                           </w:t>
      </w:r>
      <w:r>
        <w:rPr>
          <w:rFonts w:ascii="Times New Roman" w:eastAsia="Calibri" w:hAnsi="Times New Roman" w:cs="Arial"/>
          <w:noProof/>
          <w:lang w:eastAsia="hr-HR"/>
        </w:rPr>
        <w:drawing>
          <wp:inline distT="0" distB="0" distL="0" distR="0" wp14:anchorId="25CFF131" wp14:editId="3564A072">
            <wp:extent cx="387985" cy="457200"/>
            <wp:effectExtent l="0" t="0" r="0" b="0"/>
            <wp:docPr id="20" name="Slika 20" descr="6111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611171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7985" cy="457200"/>
                    </a:xfrm>
                    <a:prstGeom prst="rect">
                      <a:avLst/>
                    </a:prstGeom>
                    <a:noFill/>
                    <a:ln>
                      <a:noFill/>
                    </a:ln>
                  </pic:spPr>
                </pic:pic>
              </a:graphicData>
            </a:graphic>
          </wp:inline>
        </w:drawing>
      </w:r>
    </w:p>
    <w:p w14:paraId="46429D8D" w14:textId="77777777" w:rsidR="00E732EF" w:rsidRPr="00E732EF" w:rsidRDefault="00E732EF" w:rsidP="00E732EF">
      <w:pPr>
        <w:spacing w:after="0" w:line="240" w:lineRule="auto"/>
        <w:rPr>
          <w:rFonts w:ascii="Times New Roman" w:eastAsia="Calibri" w:hAnsi="Times New Roman" w:cs="Arial"/>
          <w:b/>
          <w:noProof/>
        </w:rPr>
      </w:pPr>
      <w:r w:rsidRPr="00E732EF">
        <w:rPr>
          <w:rFonts w:ascii="Times New Roman" w:eastAsia="Calibri" w:hAnsi="Times New Roman" w:cs="Arial"/>
          <w:b/>
          <w:noProof/>
        </w:rPr>
        <w:t xml:space="preserve">          REPUBLIKA HRVATSKA</w:t>
      </w:r>
    </w:p>
    <w:p w14:paraId="04A309C3" w14:textId="77777777" w:rsidR="00E732EF" w:rsidRPr="00E732EF" w:rsidRDefault="00E732EF" w:rsidP="00E732EF">
      <w:pPr>
        <w:spacing w:after="0" w:line="240" w:lineRule="auto"/>
        <w:rPr>
          <w:rFonts w:ascii="Times New Roman" w:eastAsia="Calibri" w:hAnsi="Times New Roman" w:cs="Arial"/>
          <w:b/>
          <w:noProof/>
        </w:rPr>
      </w:pPr>
      <w:r w:rsidRPr="00E732EF">
        <w:rPr>
          <w:rFonts w:ascii="Times New Roman" w:eastAsia="Calibri" w:hAnsi="Times New Roman" w:cs="Arial"/>
          <w:b/>
          <w:noProof/>
        </w:rPr>
        <w:t xml:space="preserve">         MEĐIMURSKA ŽUPANIJA</w:t>
      </w:r>
    </w:p>
    <w:p w14:paraId="7DBA21A7" w14:textId="77777777" w:rsidR="00E732EF" w:rsidRPr="00E732EF" w:rsidRDefault="00E732EF" w:rsidP="00E732EF">
      <w:pPr>
        <w:spacing w:after="0" w:line="240" w:lineRule="auto"/>
        <w:rPr>
          <w:rFonts w:ascii="Times New Roman" w:eastAsia="Calibri" w:hAnsi="Times New Roman" w:cs="Arial"/>
          <w:b/>
          <w:noProof/>
        </w:rPr>
      </w:pPr>
      <w:r w:rsidRPr="00E732EF">
        <w:rPr>
          <w:rFonts w:ascii="Times New Roman" w:eastAsia="Calibri" w:hAnsi="Times New Roman" w:cs="Arial"/>
          <w:b/>
          <w:noProof/>
        </w:rPr>
        <w:t xml:space="preserve">         Općina Sveti Juraj na Bregu</w:t>
      </w:r>
    </w:p>
    <w:p w14:paraId="68A9FD20" w14:textId="77777777" w:rsidR="00E732EF" w:rsidRPr="00E732EF" w:rsidRDefault="00E732EF" w:rsidP="00E732EF">
      <w:pPr>
        <w:spacing w:after="0" w:line="240" w:lineRule="auto"/>
        <w:rPr>
          <w:rFonts w:ascii="Times New Roman" w:eastAsia="Calibri" w:hAnsi="Times New Roman" w:cs="Times New Roman"/>
          <w:b/>
          <w:noProof/>
        </w:rPr>
      </w:pPr>
      <w:r w:rsidRPr="00E732EF">
        <w:rPr>
          <w:rFonts w:ascii="Times New Roman" w:eastAsia="Calibri" w:hAnsi="Times New Roman" w:cs="Times New Roman"/>
          <w:b/>
          <w:noProof/>
        </w:rPr>
        <w:t xml:space="preserve">       Pleškovec 29,  40311 Lopatinec</w:t>
      </w:r>
    </w:p>
    <w:p w14:paraId="5C609F65" w14:textId="77777777" w:rsidR="00E732EF" w:rsidRDefault="00E732EF" w:rsidP="00E732EF">
      <w:pPr>
        <w:spacing w:after="0" w:line="240" w:lineRule="auto"/>
        <w:rPr>
          <w:rFonts w:ascii="Times New Roman" w:eastAsia="Calibri" w:hAnsi="Times New Roman" w:cs="Times New Roman"/>
          <w:b/>
          <w:noProof/>
          <w:sz w:val="18"/>
          <w:szCs w:val="18"/>
        </w:rPr>
      </w:pPr>
      <w:r w:rsidRPr="00E732EF">
        <w:rPr>
          <w:rFonts w:ascii="Times New Roman" w:eastAsia="Calibri" w:hAnsi="Times New Roman" w:cs="Times New Roman"/>
          <w:b/>
          <w:noProof/>
          <w:sz w:val="18"/>
          <w:szCs w:val="18"/>
        </w:rPr>
        <w:t xml:space="preserve">             Tel: 040/855-305 Fax 040/855-294   </w:t>
      </w:r>
    </w:p>
    <w:p w14:paraId="01CFDFAE" w14:textId="77777777" w:rsidR="00E732EF" w:rsidRPr="00E732EF" w:rsidRDefault="00E732EF" w:rsidP="00E732EF">
      <w:pPr>
        <w:spacing w:after="0" w:line="240" w:lineRule="auto"/>
        <w:rPr>
          <w:rFonts w:ascii="Times New Roman" w:eastAsia="Calibri" w:hAnsi="Times New Roman" w:cs="Times New Roman"/>
          <w:b/>
          <w:noProof/>
          <w:sz w:val="18"/>
          <w:szCs w:val="18"/>
        </w:rPr>
      </w:pPr>
    </w:p>
    <w:p w14:paraId="1EC4BE9A" w14:textId="77777777" w:rsidR="00E732EF" w:rsidRPr="00E732EF" w:rsidRDefault="00E732EF" w:rsidP="00E732EF">
      <w:pPr>
        <w:spacing w:after="0" w:line="240" w:lineRule="auto"/>
        <w:rPr>
          <w:rFonts w:ascii="Times New Roman" w:eastAsia="Calibri" w:hAnsi="Times New Roman" w:cs="Times New Roman"/>
          <w:b/>
          <w:noProof/>
          <w:sz w:val="18"/>
          <w:szCs w:val="18"/>
        </w:rPr>
      </w:pPr>
    </w:p>
    <w:p w14:paraId="7CD0C9C0" w14:textId="77777777" w:rsidR="00E732EF" w:rsidRPr="00E732EF" w:rsidRDefault="00E732EF" w:rsidP="00E732EF">
      <w:pPr>
        <w:autoSpaceDE w:val="0"/>
        <w:autoSpaceDN w:val="0"/>
        <w:adjustRightInd w:val="0"/>
        <w:spacing w:after="0"/>
        <w:rPr>
          <w:rFonts w:ascii="Calibri" w:eastAsia="Calibri" w:hAnsi="Calibri" w:cs="Arial"/>
        </w:rPr>
      </w:pPr>
      <w:r w:rsidRPr="00E732EF">
        <w:rPr>
          <w:rFonts w:ascii="Calibri" w:eastAsia="Calibri" w:hAnsi="Calibri" w:cs="Arial"/>
        </w:rPr>
        <w:t xml:space="preserve">                                                                             </w:t>
      </w:r>
      <w:r>
        <w:rPr>
          <w:rFonts w:ascii="Calibri" w:eastAsia="Calibri" w:hAnsi="Calibri" w:cs="Arial"/>
          <w:noProof/>
          <w:lang w:eastAsia="hr-HR"/>
        </w:rPr>
        <w:drawing>
          <wp:inline distT="0" distB="0" distL="0" distR="0" wp14:anchorId="706BFF5E" wp14:editId="7A309DB3">
            <wp:extent cx="871220" cy="1164590"/>
            <wp:effectExtent l="0" t="0" r="5080" b="0"/>
            <wp:docPr id="19" name="Slika 19" descr="Image result for grb općine sveti juraj na breg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Image result for grb općine sveti juraj na bregu"/>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71220" cy="1164590"/>
                    </a:xfrm>
                    <a:prstGeom prst="rect">
                      <a:avLst/>
                    </a:prstGeom>
                    <a:noFill/>
                    <a:ln>
                      <a:noFill/>
                    </a:ln>
                  </pic:spPr>
                </pic:pic>
              </a:graphicData>
            </a:graphic>
          </wp:inline>
        </w:drawing>
      </w:r>
    </w:p>
    <w:p w14:paraId="70D8B73E" w14:textId="77777777" w:rsidR="00E732EF" w:rsidRPr="00E732EF" w:rsidRDefault="00E732EF" w:rsidP="00E732EF">
      <w:pPr>
        <w:rPr>
          <w:rFonts w:ascii="Times New Roman" w:eastAsia="Calibri" w:hAnsi="Times New Roman" w:cs="Times New Roman"/>
          <w:sz w:val="32"/>
          <w:szCs w:val="32"/>
        </w:rPr>
      </w:pPr>
      <w:r w:rsidRPr="00E732EF">
        <w:rPr>
          <w:rFonts w:ascii="Times New Roman" w:eastAsia="Calibri" w:hAnsi="Times New Roman" w:cs="Times New Roman"/>
          <w:sz w:val="32"/>
          <w:szCs w:val="32"/>
        </w:rPr>
        <w:t xml:space="preserve"> </w:t>
      </w:r>
    </w:p>
    <w:p w14:paraId="44FAC653" w14:textId="77777777" w:rsidR="00E732EF" w:rsidRPr="00661C0A" w:rsidRDefault="00E732EF" w:rsidP="00E732EF">
      <w:pPr>
        <w:jc w:val="center"/>
        <w:rPr>
          <w:rFonts w:ascii="Times New Roman" w:eastAsia="Calibri" w:hAnsi="Times New Roman" w:cs="Times New Roman"/>
          <w:b/>
          <w:bCs/>
          <w:sz w:val="44"/>
          <w:szCs w:val="44"/>
        </w:rPr>
      </w:pPr>
    </w:p>
    <w:p w14:paraId="63974148" w14:textId="77777777" w:rsidR="00E732EF" w:rsidRPr="00661C0A" w:rsidRDefault="00E732EF" w:rsidP="00E732EF">
      <w:pPr>
        <w:jc w:val="center"/>
        <w:rPr>
          <w:rFonts w:ascii="Times New Roman" w:eastAsia="Calibri" w:hAnsi="Times New Roman" w:cs="Times New Roman"/>
          <w:b/>
          <w:bCs/>
          <w:sz w:val="44"/>
          <w:szCs w:val="44"/>
        </w:rPr>
      </w:pPr>
      <w:r w:rsidRPr="00661C0A">
        <w:rPr>
          <w:rFonts w:ascii="Times New Roman" w:eastAsia="Calibri" w:hAnsi="Times New Roman" w:cs="Times New Roman"/>
          <w:b/>
          <w:bCs/>
          <w:sz w:val="44"/>
          <w:szCs w:val="44"/>
        </w:rPr>
        <w:t>P L A N</w:t>
      </w:r>
    </w:p>
    <w:p w14:paraId="3CB04CE9" w14:textId="77777777" w:rsidR="00E732EF" w:rsidRPr="00661C0A" w:rsidRDefault="00E732EF" w:rsidP="00E732EF">
      <w:pPr>
        <w:jc w:val="center"/>
        <w:rPr>
          <w:rFonts w:ascii="Times New Roman" w:eastAsia="Calibri" w:hAnsi="Times New Roman" w:cs="Times New Roman"/>
          <w:b/>
          <w:sz w:val="36"/>
          <w:szCs w:val="36"/>
        </w:rPr>
      </w:pPr>
      <w:r w:rsidRPr="00661C0A">
        <w:rPr>
          <w:rFonts w:ascii="Times New Roman" w:eastAsia="Calibri" w:hAnsi="Times New Roman" w:cs="Times New Roman"/>
          <w:b/>
          <w:sz w:val="36"/>
          <w:szCs w:val="36"/>
        </w:rPr>
        <w:t>DJELOVANJA U PODRUČJU PRIRODNIH NEPOGODA</w:t>
      </w:r>
    </w:p>
    <w:p w14:paraId="528353BF" w14:textId="11A3AD0B" w:rsidR="00E732EF" w:rsidRPr="00661C0A" w:rsidRDefault="00485646" w:rsidP="00E732EF">
      <w:pPr>
        <w:jc w:val="center"/>
        <w:rPr>
          <w:rFonts w:ascii="Times New Roman" w:eastAsia="Calibri" w:hAnsi="Times New Roman" w:cs="Times New Roman"/>
          <w:b/>
          <w:sz w:val="36"/>
          <w:szCs w:val="36"/>
        </w:rPr>
      </w:pPr>
      <w:r>
        <w:rPr>
          <w:rFonts w:ascii="Times New Roman" w:eastAsia="Calibri" w:hAnsi="Times New Roman" w:cs="Times New Roman"/>
          <w:b/>
          <w:sz w:val="36"/>
          <w:szCs w:val="36"/>
        </w:rPr>
        <w:t>- ZA 202</w:t>
      </w:r>
      <w:r w:rsidR="005E6E61">
        <w:rPr>
          <w:rFonts w:ascii="Times New Roman" w:eastAsia="Calibri" w:hAnsi="Times New Roman" w:cs="Times New Roman"/>
          <w:b/>
          <w:sz w:val="36"/>
          <w:szCs w:val="36"/>
        </w:rPr>
        <w:t>6</w:t>
      </w:r>
      <w:r w:rsidR="00E732EF" w:rsidRPr="00661C0A">
        <w:rPr>
          <w:rFonts w:ascii="Times New Roman" w:eastAsia="Calibri" w:hAnsi="Times New Roman" w:cs="Times New Roman"/>
          <w:b/>
          <w:sz w:val="36"/>
          <w:szCs w:val="36"/>
        </w:rPr>
        <w:t>. GODINU</w:t>
      </w:r>
    </w:p>
    <w:p w14:paraId="13309CB5" w14:textId="77777777" w:rsidR="00E732EF" w:rsidRPr="00661C0A" w:rsidRDefault="00E732EF" w:rsidP="00E732EF">
      <w:pPr>
        <w:tabs>
          <w:tab w:val="center" w:pos="4535"/>
        </w:tabs>
        <w:jc w:val="center"/>
        <w:rPr>
          <w:rFonts w:ascii="Times New Roman" w:eastAsia="Calibri" w:hAnsi="Times New Roman" w:cs="Times New Roman"/>
          <w:b/>
          <w:sz w:val="36"/>
          <w:szCs w:val="36"/>
        </w:rPr>
      </w:pPr>
      <w:r w:rsidRPr="00661C0A">
        <w:rPr>
          <w:rFonts w:ascii="Times New Roman" w:eastAsia="Calibri" w:hAnsi="Times New Roman" w:cs="Times New Roman"/>
          <w:b/>
          <w:sz w:val="36"/>
          <w:szCs w:val="36"/>
        </w:rPr>
        <w:t>Općina Sveti Juraj na Bregu</w:t>
      </w:r>
    </w:p>
    <w:p w14:paraId="4AF888D2" w14:textId="77777777" w:rsidR="00E732EF" w:rsidRPr="00661C0A" w:rsidRDefault="00E732EF" w:rsidP="00E732EF">
      <w:pPr>
        <w:rPr>
          <w:rFonts w:ascii="Bookman Old Style" w:eastAsia="Calibri" w:hAnsi="Bookman Old Style" w:cs="Times New Roman"/>
        </w:rPr>
      </w:pPr>
      <w:r w:rsidRPr="00661C0A">
        <w:rPr>
          <w:rFonts w:ascii="Bookman Old Style" w:eastAsia="Calibri" w:hAnsi="Bookman Old Style" w:cs="Times New Roman"/>
        </w:rPr>
        <w:t xml:space="preserve"> </w:t>
      </w:r>
    </w:p>
    <w:p w14:paraId="3BA5BB8D" w14:textId="77777777" w:rsidR="00E732EF" w:rsidRPr="00661C0A" w:rsidRDefault="00E732EF" w:rsidP="00E732EF">
      <w:pPr>
        <w:rPr>
          <w:rFonts w:ascii="Bookman Old Style" w:eastAsia="Calibri" w:hAnsi="Bookman Old Style" w:cs="Times New Roman"/>
        </w:rPr>
      </w:pPr>
      <w:r w:rsidRPr="00661C0A">
        <w:rPr>
          <w:rFonts w:ascii="Bookman Old Style" w:eastAsia="Calibri" w:hAnsi="Bookman Old Style" w:cs="Times New Roman"/>
        </w:rPr>
        <w:t xml:space="preserve"> </w:t>
      </w:r>
    </w:p>
    <w:p w14:paraId="6018F334" w14:textId="77777777" w:rsidR="00E732EF" w:rsidRPr="00661C0A" w:rsidRDefault="00E732EF" w:rsidP="00E732EF">
      <w:pPr>
        <w:rPr>
          <w:rFonts w:ascii="Times New Roman" w:eastAsia="Calibri" w:hAnsi="Times New Roman" w:cs="Times New Roman"/>
        </w:rPr>
      </w:pPr>
      <w:r w:rsidRPr="00661C0A">
        <w:rPr>
          <w:rFonts w:ascii="Times New Roman" w:eastAsia="Calibri" w:hAnsi="Times New Roman" w:cs="Times New Roman"/>
        </w:rPr>
        <w:t xml:space="preserve"> </w:t>
      </w:r>
    </w:p>
    <w:p w14:paraId="3836E9B5" w14:textId="77777777" w:rsidR="00E732EF" w:rsidRPr="00661C0A" w:rsidRDefault="00E732EF" w:rsidP="00E732EF">
      <w:pPr>
        <w:rPr>
          <w:rFonts w:ascii="Times New Roman" w:eastAsia="Calibri" w:hAnsi="Times New Roman" w:cs="Times New Roman"/>
        </w:rPr>
      </w:pPr>
      <w:r w:rsidRPr="00661C0A">
        <w:rPr>
          <w:rFonts w:ascii="Times New Roman" w:eastAsia="Calibri" w:hAnsi="Times New Roman" w:cs="Times New Roman"/>
        </w:rPr>
        <w:t xml:space="preserve"> </w:t>
      </w:r>
    </w:p>
    <w:p w14:paraId="2DB09A19" w14:textId="77777777" w:rsidR="00E732EF" w:rsidRPr="00661C0A" w:rsidRDefault="00E732EF" w:rsidP="00E732EF">
      <w:pPr>
        <w:rPr>
          <w:rFonts w:ascii="Times New Roman" w:eastAsia="Calibri" w:hAnsi="Times New Roman" w:cs="Times New Roman"/>
        </w:rPr>
      </w:pPr>
    </w:p>
    <w:p w14:paraId="6B1486A6" w14:textId="77777777" w:rsidR="00E732EF" w:rsidRPr="00661C0A" w:rsidRDefault="00E732EF" w:rsidP="00E732EF">
      <w:pPr>
        <w:rPr>
          <w:rFonts w:ascii="Times New Roman" w:eastAsia="Calibri" w:hAnsi="Times New Roman" w:cs="Times New Roman"/>
        </w:rPr>
      </w:pPr>
    </w:p>
    <w:p w14:paraId="0D7E78C8" w14:textId="77777777" w:rsidR="00E732EF" w:rsidRPr="00661C0A" w:rsidRDefault="00E732EF" w:rsidP="00E732EF">
      <w:pPr>
        <w:rPr>
          <w:rFonts w:ascii="Times New Roman" w:eastAsia="Calibri" w:hAnsi="Times New Roman" w:cs="Times New Roman"/>
        </w:rPr>
      </w:pPr>
    </w:p>
    <w:p w14:paraId="47EC487A" w14:textId="77777777" w:rsidR="00E732EF" w:rsidRPr="00661C0A" w:rsidRDefault="00E732EF" w:rsidP="00E732EF">
      <w:pPr>
        <w:rPr>
          <w:rFonts w:ascii="Times New Roman" w:eastAsia="Calibri" w:hAnsi="Times New Roman" w:cs="Times New Roman"/>
        </w:rPr>
      </w:pPr>
    </w:p>
    <w:p w14:paraId="4EA55686" w14:textId="77777777" w:rsidR="00E732EF" w:rsidRPr="00661C0A" w:rsidRDefault="00E732EF" w:rsidP="00E732EF">
      <w:pPr>
        <w:rPr>
          <w:rFonts w:ascii="Times New Roman" w:eastAsia="Calibri" w:hAnsi="Times New Roman" w:cs="Times New Roman"/>
        </w:rPr>
      </w:pPr>
    </w:p>
    <w:p w14:paraId="37F5233A" w14:textId="575654A2" w:rsidR="00E732EF" w:rsidRPr="00661C0A" w:rsidRDefault="00851904" w:rsidP="00E732EF">
      <w:pPr>
        <w:jc w:val="center"/>
        <w:rPr>
          <w:rFonts w:ascii="Times New Roman" w:eastAsia="Calibri" w:hAnsi="Times New Roman" w:cs="Times New Roman"/>
        </w:rPr>
      </w:pPr>
      <w:r>
        <w:rPr>
          <w:rFonts w:ascii="Times New Roman" w:eastAsia="Calibri" w:hAnsi="Times New Roman" w:cs="Times New Roman"/>
        </w:rPr>
        <w:t>rujan</w:t>
      </w:r>
      <w:r w:rsidR="00485646">
        <w:rPr>
          <w:rFonts w:ascii="Times New Roman" w:eastAsia="Calibri" w:hAnsi="Times New Roman" w:cs="Times New Roman"/>
        </w:rPr>
        <w:t xml:space="preserve"> 202</w:t>
      </w:r>
      <w:r w:rsidR="005E6E61">
        <w:rPr>
          <w:rFonts w:ascii="Times New Roman" w:eastAsia="Calibri" w:hAnsi="Times New Roman" w:cs="Times New Roman"/>
        </w:rPr>
        <w:t>5</w:t>
      </w:r>
      <w:r w:rsidR="00E732EF" w:rsidRPr="00661C0A">
        <w:rPr>
          <w:rFonts w:ascii="Times New Roman" w:eastAsia="Calibri" w:hAnsi="Times New Roman" w:cs="Times New Roman"/>
        </w:rPr>
        <w:t>. godine</w:t>
      </w:r>
    </w:p>
    <w:p w14:paraId="52554C06" w14:textId="77777777" w:rsidR="00E732EF" w:rsidRPr="00661C0A" w:rsidRDefault="00E732EF" w:rsidP="00E732EF">
      <w:pPr>
        <w:rPr>
          <w:rFonts w:ascii="Times New Roman" w:eastAsia="Calibri" w:hAnsi="Times New Roman" w:cs="Times New Roman"/>
          <w:b/>
          <w:bCs/>
          <w:i/>
          <w:iCs/>
          <w:sz w:val="24"/>
          <w:szCs w:val="24"/>
        </w:rPr>
      </w:pPr>
      <w:r w:rsidRPr="00661C0A">
        <w:rPr>
          <w:rFonts w:ascii="Times New Roman" w:eastAsia="Calibri" w:hAnsi="Times New Roman" w:cs="Times New Roman"/>
          <w:b/>
          <w:bCs/>
          <w:i/>
          <w:iCs/>
          <w:sz w:val="24"/>
          <w:szCs w:val="24"/>
        </w:rPr>
        <w:lastRenderedPageBreak/>
        <w:t>Pojmovnik</w:t>
      </w:r>
    </w:p>
    <w:p w14:paraId="2D5267DC" w14:textId="77777777" w:rsidR="00E732EF" w:rsidRPr="00661C0A" w:rsidRDefault="00E732EF" w:rsidP="00E732EF">
      <w:pPr>
        <w:spacing w:after="0" w:line="240" w:lineRule="auto"/>
        <w:jc w:val="both"/>
        <w:rPr>
          <w:rFonts w:ascii="Times New Roman" w:eastAsia="Calibri" w:hAnsi="Times New Roman" w:cs="Times New Roman"/>
          <w:sz w:val="20"/>
          <w:szCs w:val="20"/>
        </w:rPr>
      </w:pPr>
      <w:r w:rsidRPr="00661C0A">
        <w:rPr>
          <w:rFonts w:ascii="Times New Roman" w:eastAsia="Calibri" w:hAnsi="Times New Roman" w:cs="Times New Roman"/>
          <w:b/>
          <w:i/>
          <w:iCs/>
          <w:sz w:val="20"/>
          <w:szCs w:val="20"/>
          <w:bdr w:val="none" w:sz="0" w:space="0" w:color="auto" w:frame="1"/>
        </w:rPr>
        <w:t>Građevina</w:t>
      </w:r>
      <w:r w:rsidRPr="00661C0A">
        <w:rPr>
          <w:rFonts w:ascii="Times New Roman" w:eastAsia="Calibri" w:hAnsi="Times New Roman" w:cs="Times New Roman"/>
          <w:i/>
          <w:iCs/>
          <w:sz w:val="20"/>
          <w:szCs w:val="20"/>
          <w:bdr w:val="none" w:sz="0" w:space="0" w:color="auto" w:frame="1"/>
        </w:rPr>
        <w:t> </w:t>
      </w:r>
      <w:r w:rsidRPr="00661C0A">
        <w:rPr>
          <w:rFonts w:ascii="Times New Roman" w:eastAsia="Calibri" w:hAnsi="Times New Roman" w:cs="Times New Roman"/>
          <w:sz w:val="20"/>
          <w:szCs w:val="20"/>
        </w:rPr>
        <w:t>je sklop definiran propisom kojim se uređuje gradnja;</w:t>
      </w:r>
    </w:p>
    <w:p w14:paraId="4D67290E" w14:textId="77777777" w:rsidR="00E732EF" w:rsidRPr="00661C0A" w:rsidRDefault="00E732EF" w:rsidP="00E732EF">
      <w:pPr>
        <w:spacing w:after="0" w:line="240" w:lineRule="auto"/>
        <w:jc w:val="both"/>
        <w:rPr>
          <w:rFonts w:ascii="Times New Roman" w:eastAsia="Calibri" w:hAnsi="Times New Roman" w:cs="Times New Roman"/>
          <w:sz w:val="20"/>
          <w:szCs w:val="20"/>
        </w:rPr>
      </w:pPr>
      <w:r w:rsidRPr="00661C0A">
        <w:rPr>
          <w:rFonts w:ascii="Times New Roman" w:eastAsia="Calibri" w:hAnsi="Times New Roman" w:cs="Times New Roman"/>
          <w:b/>
          <w:i/>
          <w:iCs/>
          <w:sz w:val="20"/>
          <w:szCs w:val="20"/>
          <w:bdr w:val="none" w:sz="0" w:space="0" w:color="auto" w:frame="1"/>
        </w:rPr>
        <w:t>Imovina</w:t>
      </w:r>
      <w:r w:rsidRPr="00661C0A">
        <w:rPr>
          <w:rFonts w:ascii="Times New Roman" w:eastAsia="Calibri" w:hAnsi="Times New Roman" w:cs="Times New Roman"/>
          <w:i/>
          <w:iCs/>
          <w:sz w:val="20"/>
          <w:szCs w:val="20"/>
          <w:bdr w:val="none" w:sz="0" w:space="0" w:color="auto" w:frame="1"/>
        </w:rPr>
        <w:t> </w:t>
      </w:r>
      <w:r w:rsidRPr="00661C0A">
        <w:rPr>
          <w:rFonts w:ascii="Times New Roman" w:eastAsia="Calibri" w:hAnsi="Times New Roman" w:cs="Times New Roman"/>
          <w:sz w:val="20"/>
          <w:szCs w:val="20"/>
        </w:rPr>
        <w:t>obuhvaća građevine, infrastrukturu, opremu, zemljišta, višegodišnje nasade, šume, stoku, obrtna sredstva u poljoprivredi te ostala sredstva i dobra;</w:t>
      </w:r>
    </w:p>
    <w:p w14:paraId="099ED887" w14:textId="77777777" w:rsidR="00E732EF" w:rsidRPr="00661C0A" w:rsidRDefault="00E732EF" w:rsidP="00E732EF">
      <w:pPr>
        <w:spacing w:after="0" w:line="240" w:lineRule="auto"/>
        <w:jc w:val="both"/>
        <w:rPr>
          <w:rFonts w:ascii="Times New Roman" w:eastAsia="Calibri" w:hAnsi="Times New Roman" w:cs="Times New Roman"/>
          <w:sz w:val="20"/>
          <w:szCs w:val="20"/>
        </w:rPr>
      </w:pPr>
      <w:r w:rsidRPr="00661C0A">
        <w:rPr>
          <w:rFonts w:ascii="Times New Roman" w:eastAsia="Calibri" w:hAnsi="Times New Roman" w:cs="Times New Roman"/>
          <w:b/>
          <w:i/>
          <w:iCs/>
          <w:sz w:val="20"/>
          <w:szCs w:val="20"/>
          <w:bdr w:val="none" w:sz="0" w:space="0" w:color="auto" w:frame="1"/>
        </w:rPr>
        <w:t>Poljoprivrednik</w:t>
      </w:r>
      <w:r w:rsidRPr="00661C0A">
        <w:rPr>
          <w:rFonts w:ascii="Times New Roman" w:eastAsia="Calibri" w:hAnsi="Times New Roman" w:cs="Times New Roman"/>
          <w:i/>
          <w:iCs/>
          <w:sz w:val="20"/>
          <w:szCs w:val="20"/>
          <w:bdr w:val="none" w:sz="0" w:space="0" w:color="auto" w:frame="1"/>
        </w:rPr>
        <w:t> </w:t>
      </w:r>
      <w:r w:rsidRPr="00661C0A">
        <w:rPr>
          <w:rFonts w:ascii="Times New Roman" w:eastAsia="Calibri" w:hAnsi="Times New Roman" w:cs="Times New Roman"/>
          <w:sz w:val="20"/>
          <w:szCs w:val="20"/>
        </w:rPr>
        <w:t>je fizička ili pravna osoba ili skupina fizičkih ili pravnih osoba koja obavlja poljoprivrednu djelatnost na području Republike Hrvatske, a obuhvaća sljedeće organizacijske oblike: obiteljsko poljoprivredno gospodarstvo, samo-opskrbno poljoprivredno gospodarstvo, obrt registriran za obavljanje poljoprivredne djelatnosti, trgovačko društvo ili zadrugu registriranu za obavljanje poljoprivredne djelatnosti te druga pravna osoba;</w:t>
      </w:r>
    </w:p>
    <w:p w14:paraId="2DE56FBC" w14:textId="77777777" w:rsidR="00E732EF" w:rsidRPr="00661C0A" w:rsidRDefault="00E732EF" w:rsidP="00E732EF">
      <w:pPr>
        <w:spacing w:after="0" w:line="240" w:lineRule="auto"/>
        <w:jc w:val="both"/>
        <w:rPr>
          <w:rFonts w:ascii="Times New Roman" w:eastAsia="Calibri" w:hAnsi="Times New Roman" w:cs="Times New Roman"/>
          <w:sz w:val="20"/>
          <w:szCs w:val="20"/>
        </w:rPr>
      </w:pPr>
      <w:r w:rsidRPr="00661C0A">
        <w:rPr>
          <w:rFonts w:ascii="Times New Roman" w:eastAsia="Calibri" w:hAnsi="Times New Roman" w:cs="Times New Roman"/>
          <w:b/>
          <w:i/>
          <w:iCs/>
          <w:sz w:val="20"/>
          <w:szCs w:val="20"/>
          <w:bdr w:val="none" w:sz="0" w:space="0" w:color="auto" w:frame="1"/>
        </w:rPr>
        <w:t>Štete u poljoprivredi</w:t>
      </w:r>
      <w:r w:rsidRPr="00661C0A">
        <w:rPr>
          <w:rFonts w:ascii="Times New Roman" w:eastAsia="Calibri" w:hAnsi="Times New Roman" w:cs="Times New Roman"/>
          <w:i/>
          <w:iCs/>
          <w:sz w:val="20"/>
          <w:szCs w:val="20"/>
          <w:bdr w:val="none" w:sz="0" w:space="0" w:color="auto" w:frame="1"/>
        </w:rPr>
        <w:t> </w:t>
      </w:r>
      <w:r w:rsidRPr="00661C0A">
        <w:rPr>
          <w:rFonts w:ascii="Times New Roman" w:eastAsia="Calibri" w:hAnsi="Times New Roman" w:cs="Times New Roman"/>
          <w:sz w:val="20"/>
          <w:szCs w:val="20"/>
        </w:rPr>
        <w:t>su štete koje je poljoprivrednik pretrpio na poljoprivrednom zemljištu i/ili primarnoj poljoprivrednoj proizvodnji;</w:t>
      </w:r>
    </w:p>
    <w:p w14:paraId="55FC5E15" w14:textId="77777777" w:rsidR="00E732EF" w:rsidRPr="00661C0A" w:rsidRDefault="00E732EF" w:rsidP="00E732EF">
      <w:pPr>
        <w:spacing w:after="0" w:line="240" w:lineRule="auto"/>
        <w:jc w:val="both"/>
        <w:rPr>
          <w:rFonts w:ascii="Times New Roman" w:eastAsia="Calibri" w:hAnsi="Times New Roman" w:cs="Times New Roman"/>
          <w:sz w:val="20"/>
          <w:szCs w:val="20"/>
        </w:rPr>
      </w:pPr>
      <w:r w:rsidRPr="00661C0A">
        <w:rPr>
          <w:rFonts w:ascii="Times New Roman" w:eastAsia="Calibri" w:hAnsi="Times New Roman" w:cs="Times New Roman"/>
          <w:b/>
          <w:i/>
          <w:iCs/>
          <w:sz w:val="20"/>
          <w:szCs w:val="20"/>
          <w:bdr w:val="none" w:sz="0" w:space="0" w:color="auto" w:frame="1"/>
        </w:rPr>
        <w:t>Štete u šumarstvu</w:t>
      </w:r>
      <w:r w:rsidRPr="00661C0A">
        <w:rPr>
          <w:rFonts w:ascii="Times New Roman" w:eastAsia="Calibri" w:hAnsi="Times New Roman" w:cs="Times New Roman"/>
          <w:i/>
          <w:iCs/>
          <w:sz w:val="20"/>
          <w:szCs w:val="20"/>
          <w:bdr w:val="none" w:sz="0" w:space="0" w:color="auto" w:frame="1"/>
        </w:rPr>
        <w:t> </w:t>
      </w:r>
      <w:r w:rsidRPr="00661C0A">
        <w:rPr>
          <w:rFonts w:ascii="Times New Roman" w:eastAsia="Calibri" w:hAnsi="Times New Roman" w:cs="Times New Roman"/>
          <w:sz w:val="20"/>
          <w:szCs w:val="20"/>
        </w:rPr>
        <w:t>su štete na šumskom zemljištu i šumama;</w:t>
      </w:r>
    </w:p>
    <w:p w14:paraId="4DB21CDA" w14:textId="77777777" w:rsidR="00E732EF" w:rsidRPr="00661C0A" w:rsidRDefault="00E732EF" w:rsidP="00E732EF">
      <w:pPr>
        <w:spacing w:after="0" w:line="240" w:lineRule="auto"/>
        <w:jc w:val="both"/>
        <w:rPr>
          <w:rFonts w:ascii="Times New Roman" w:eastAsia="Calibri" w:hAnsi="Times New Roman" w:cs="Times New Roman"/>
          <w:sz w:val="20"/>
          <w:szCs w:val="20"/>
        </w:rPr>
      </w:pPr>
      <w:r w:rsidRPr="00661C0A">
        <w:rPr>
          <w:rFonts w:ascii="Times New Roman" w:eastAsia="Calibri" w:hAnsi="Times New Roman" w:cs="Times New Roman"/>
          <w:b/>
          <w:i/>
          <w:iCs/>
          <w:sz w:val="20"/>
          <w:szCs w:val="20"/>
          <w:bdr w:val="none" w:sz="0" w:space="0" w:color="auto" w:frame="1"/>
        </w:rPr>
        <w:t>Poljoprivredno gospodarstvo</w:t>
      </w:r>
      <w:r w:rsidRPr="00661C0A">
        <w:rPr>
          <w:rFonts w:ascii="Times New Roman" w:eastAsia="Calibri" w:hAnsi="Times New Roman" w:cs="Times New Roman"/>
          <w:i/>
          <w:iCs/>
          <w:sz w:val="20"/>
          <w:szCs w:val="20"/>
          <w:bdr w:val="none" w:sz="0" w:space="0" w:color="auto" w:frame="1"/>
        </w:rPr>
        <w:t> </w:t>
      </w:r>
      <w:r w:rsidRPr="00661C0A">
        <w:rPr>
          <w:rFonts w:ascii="Times New Roman" w:eastAsia="Calibri" w:hAnsi="Times New Roman" w:cs="Times New Roman"/>
          <w:sz w:val="20"/>
          <w:szCs w:val="20"/>
        </w:rPr>
        <w:t>čine sve proizvodne jedinice na kojima se obavlja poljoprivredna djelatnost i kojima upravlja poljoprivrednik, a koje se nalaze na području Republike Hrvatske;</w:t>
      </w:r>
    </w:p>
    <w:p w14:paraId="4509AD23" w14:textId="77777777" w:rsidR="00E732EF" w:rsidRPr="00661C0A" w:rsidRDefault="00E732EF" w:rsidP="00E732EF">
      <w:pPr>
        <w:spacing w:after="0" w:line="240" w:lineRule="auto"/>
        <w:jc w:val="both"/>
        <w:rPr>
          <w:rFonts w:ascii="Times New Roman" w:eastAsia="Calibri" w:hAnsi="Times New Roman" w:cs="Times New Roman"/>
          <w:sz w:val="20"/>
          <w:szCs w:val="20"/>
        </w:rPr>
      </w:pPr>
      <w:r w:rsidRPr="00661C0A">
        <w:rPr>
          <w:rFonts w:ascii="Times New Roman" w:eastAsia="Calibri" w:hAnsi="Times New Roman" w:cs="Times New Roman"/>
          <w:b/>
          <w:i/>
          <w:iCs/>
          <w:sz w:val="20"/>
          <w:szCs w:val="20"/>
          <w:bdr w:val="none" w:sz="0" w:space="0" w:color="auto" w:frame="1"/>
        </w:rPr>
        <w:t>Osiguravatelj </w:t>
      </w:r>
      <w:r w:rsidRPr="00661C0A">
        <w:rPr>
          <w:rFonts w:ascii="Times New Roman" w:eastAsia="Calibri" w:hAnsi="Times New Roman" w:cs="Times New Roman"/>
          <w:sz w:val="20"/>
          <w:szCs w:val="20"/>
        </w:rPr>
        <w:t>je društvo za osiguranje u smislu zakona kojim je uređeno osiguranje;</w:t>
      </w:r>
    </w:p>
    <w:p w14:paraId="1F43FEAB" w14:textId="77777777" w:rsidR="00E732EF" w:rsidRPr="00661C0A" w:rsidRDefault="00E732EF" w:rsidP="00E732EF">
      <w:pPr>
        <w:spacing w:after="0" w:line="240" w:lineRule="auto"/>
        <w:jc w:val="both"/>
        <w:rPr>
          <w:rFonts w:ascii="Times New Roman" w:eastAsia="Calibri" w:hAnsi="Times New Roman" w:cs="Times New Roman"/>
          <w:sz w:val="20"/>
          <w:szCs w:val="20"/>
        </w:rPr>
      </w:pPr>
      <w:r w:rsidRPr="00661C0A">
        <w:rPr>
          <w:rFonts w:ascii="Times New Roman" w:eastAsia="Calibri" w:hAnsi="Times New Roman" w:cs="Times New Roman"/>
          <w:b/>
          <w:i/>
          <w:iCs/>
          <w:sz w:val="20"/>
          <w:szCs w:val="20"/>
          <w:bdr w:val="none" w:sz="0" w:space="0" w:color="auto" w:frame="1"/>
        </w:rPr>
        <w:t>Oštećenik</w:t>
      </w:r>
      <w:r w:rsidRPr="00661C0A">
        <w:rPr>
          <w:rFonts w:ascii="Times New Roman" w:eastAsia="Calibri" w:hAnsi="Times New Roman" w:cs="Times New Roman"/>
          <w:i/>
          <w:iCs/>
          <w:sz w:val="20"/>
          <w:szCs w:val="20"/>
          <w:bdr w:val="none" w:sz="0" w:space="0" w:color="auto" w:frame="1"/>
        </w:rPr>
        <w:t> </w:t>
      </w:r>
      <w:r w:rsidRPr="00661C0A">
        <w:rPr>
          <w:rFonts w:ascii="Times New Roman" w:eastAsia="Calibri" w:hAnsi="Times New Roman" w:cs="Times New Roman"/>
          <w:sz w:val="20"/>
          <w:szCs w:val="20"/>
        </w:rPr>
        <w:t>je fizička ili pravna osoba na čijoj je imovini utvrđena šteta od prirodnih nepogoda sukladno kriterijima iz ovoga Zakona;</w:t>
      </w:r>
    </w:p>
    <w:p w14:paraId="0E8DAFA1" w14:textId="77777777" w:rsidR="00E732EF" w:rsidRPr="00661C0A" w:rsidRDefault="00E732EF" w:rsidP="00E732EF">
      <w:pPr>
        <w:spacing w:after="0" w:line="240" w:lineRule="auto"/>
        <w:jc w:val="both"/>
        <w:rPr>
          <w:rFonts w:ascii="Times New Roman" w:eastAsia="Calibri" w:hAnsi="Times New Roman" w:cs="Times New Roman"/>
          <w:sz w:val="20"/>
          <w:szCs w:val="20"/>
          <w:lang w:eastAsia="hr-HR"/>
        </w:rPr>
      </w:pPr>
      <w:r w:rsidRPr="00661C0A">
        <w:rPr>
          <w:rFonts w:ascii="Times New Roman" w:eastAsia="Calibri" w:hAnsi="Times New Roman" w:cs="Times New Roman"/>
          <w:b/>
          <w:i/>
          <w:iCs/>
          <w:sz w:val="20"/>
          <w:szCs w:val="20"/>
          <w:bdr w:val="none" w:sz="0" w:space="0" w:color="auto" w:frame="1"/>
        </w:rPr>
        <w:t>Katastrofa </w:t>
      </w:r>
      <w:r w:rsidRPr="00661C0A">
        <w:rPr>
          <w:rFonts w:ascii="Times New Roman" w:eastAsia="Calibri" w:hAnsi="Times New Roman" w:cs="Times New Roman"/>
          <w:sz w:val="20"/>
          <w:szCs w:val="20"/>
        </w:rPr>
        <w:t xml:space="preserve">ima značenje u smislu zakona kojim je uređen sustav civilne zaštite (CZ). </w:t>
      </w:r>
      <w:r w:rsidRPr="00661C0A">
        <w:rPr>
          <w:rFonts w:ascii="Times New Roman" w:eastAsia="Calibri" w:hAnsi="Times New Roman" w:cs="Times New Roman"/>
          <w:iCs/>
          <w:sz w:val="20"/>
          <w:szCs w:val="20"/>
          <w:lang w:eastAsia="hr-HR"/>
        </w:rPr>
        <w:t>Katastrofa</w:t>
      </w:r>
      <w:r w:rsidRPr="00661C0A">
        <w:rPr>
          <w:rFonts w:ascii="Times New Roman" w:eastAsia="Calibri" w:hAnsi="Times New Roman" w:cs="Times New Roman"/>
          <w:sz w:val="20"/>
          <w:szCs w:val="20"/>
          <w:lang w:eastAsia="hr-HR"/>
        </w:rPr>
        <w:t> je stanje izazvano prirodnim i/ili tehničko-tehnološkim događajem koji opsegom, intenzitetom i neočekivanošću ugrožava zdravlje i živote većeg broja ljudi, imovinu veće vrijednosti i okoliš, a čiji nastanak nije moguće spriječiti ili posljedice otkloniti djelovanjem svih operativnih snaga sustava CZ;</w:t>
      </w:r>
    </w:p>
    <w:p w14:paraId="6C976E3B" w14:textId="77777777" w:rsidR="00E732EF" w:rsidRPr="00661C0A" w:rsidRDefault="00E732EF" w:rsidP="00E732EF">
      <w:pPr>
        <w:spacing w:after="0" w:line="240" w:lineRule="auto"/>
        <w:jc w:val="both"/>
        <w:rPr>
          <w:rFonts w:ascii="Times New Roman" w:eastAsia="Calibri" w:hAnsi="Times New Roman" w:cs="Times New Roman"/>
          <w:sz w:val="20"/>
          <w:szCs w:val="20"/>
        </w:rPr>
      </w:pPr>
      <w:r w:rsidRPr="00661C0A">
        <w:rPr>
          <w:rFonts w:ascii="Times New Roman" w:eastAsia="Calibri" w:hAnsi="Times New Roman" w:cs="Times New Roman"/>
          <w:b/>
          <w:i/>
          <w:iCs/>
          <w:sz w:val="20"/>
          <w:szCs w:val="20"/>
          <w:bdr w:val="none" w:sz="0" w:space="0" w:color="auto" w:frame="1"/>
        </w:rPr>
        <w:t>Poduzetnik </w:t>
      </w:r>
      <w:r w:rsidRPr="00661C0A">
        <w:rPr>
          <w:rFonts w:ascii="Times New Roman" w:eastAsia="Calibri" w:hAnsi="Times New Roman" w:cs="Times New Roman"/>
          <w:sz w:val="20"/>
          <w:szCs w:val="20"/>
        </w:rPr>
        <w:t>je svaka pravna ili fizička osoba koja, obavljajući gospodarsku djelatnost, sudjeluje u prometu robe i usluga bez obzira na to stječe li profit ili ne stječe;</w:t>
      </w:r>
    </w:p>
    <w:p w14:paraId="086CB6DD" w14:textId="77777777" w:rsidR="00E732EF" w:rsidRPr="00661C0A" w:rsidRDefault="00E732EF" w:rsidP="00E732EF">
      <w:pPr>
        <w:spacing w:after="0" w:line="240" w:lineRule="auto"/>
        <w:jc w:val="both"/>
        <w:rPr>
          <w:rFonts w:ascii="Times New Roman" w:eastAsia="Calibri" w:hAnsi="Times New Roman" w:cs="Times New Roman"/>
          <w:sz w:val="20"/>
          <w:szCs w:val="20"/>
        </w:rPr>
      </w:pPr>
      <w:r w:rsidRPr="00661C0A">
        <w:rPr>
          <w:rFonts w:ascii="Times New Roman" w:eastAsia="Calibri" w:hAnsi="Times New Roman" w:cs="Times New Roman"/>
          <w:b/>
          <w:i/>
          <w:iCs/>
          <w:sz w:val="20"/>
          <w:szCs w:val="20"/>
          <w:bdr w:val="none" w:sz="0" w:space="0" w:color="auto" w:frame="1"/>
        </w:rPr>
        <w:t>Stambene zgrade</w:t>
      </w:r>
      <w:r w:rsidRPr="00661C0A">
        <w:rPr>
          <w:rFonts w:ascii="Times New Roman" w:eastAsia="Calibri" w:hAnsi="Times New Roman" w:cs="Times New Roman"/>
          <w:i/>
          <w:iCs/>
          <w:sz w:val="20"/>
          <w:szCs w:val="20"/>
          <w:bdr w:val="none" w:sz="0" w:space="0" w:color="auto" w:frame="1"/>
        </w:rPr>
        <w:t> </w:t>
      </w:r>
      <w:r w:rsidRPr="00661C0A">
        <w:rPr>
          <w:rFonts w:ascii="Times New Roman" w:eastAsia="Calibri" w:hAnsi="Times New Roman" w:cs="Times New Roman"/>
          <w:sz w:val="20"/>
          <w:szCs w:val="20"/>
        </w:rPr>
        <w:t xml:space="preserve">u smislu ovoga Zakona su zgrade za smještaj i boravak ljudi; </w:t>
      </w:r>
    </w:p>
    <w:p w14:paraId="4DAFDF47" w14:textId="77777777" w:rsidR="00E732EF" w:rsidRPr="00661C0A" w:rsidRDefault="00E732EF" w:rsidP="00E732EF">
      <w:pPr>
        <w:spacing w:after="0" w:line="240" w:lineRule="auto"/>
        <w:jc w:val="both"/>
        <w:rPr>
          <w:rFonts w:ascii="Times New Roman" w:eastAsia="Calibri" w:hAnsi="Times New Roman" w:cs="Times New Roman"/>
          <w:sz w:val="20"/>
          <w:szCs w:val="20"/>
        </w:rPr>
      </w:pPr>
      <w:r w:rsidRPr="00661C0A">
        <w:rPr>
          <w:rFonts w:ascii="Times New Roman" w:eastAsia="Calibri" w:hAnsi="Times New Roman" w:cs="Times New Roman"/>
          <w:b/>
          <w:i/>
          <w:iCs/>
          <w:sz w:val="20"/>
          <w:szCs w:val="20"/>
          <w:bdr w:val="none" w:sz="0" w:space="0" w:color="auto" w:frame="1"/>
        </w:rPr>
        <w:t>Infrastruktura </w:t>
      </w:r>
      <w:r w:rsidRPr="00661C0A">
        <w:rPr>
          <w:rFonts w:ascii="Times New Roman" w:eastAsia="Calibri" w:hAnsi="Times New Roman" w:cs="Times New Roman"/>
          <w:sz w:val="20"/>
          <w:szCs w:val="20"/>
        </w:rPr>
        <w:t>su građevine definirane propisom kojim se uređuje prostorno uređenje;</w:t>
      </w:r>
    </w:p>
    <w:p w14:paraId="6F1579F6" w14:textId="77777777" w:rsidR="00E732EF" w:rsidRPr="00661C0A" w:rsidRDefault="00E732EF" w:rsidP="00E732EF">
      <w:pPr>
        <w:spacing w:after="0" w:line="240" w:lineRule="auto"/>
        <w:jc w:val="both"/>
        <w:rPr>
          <w:rFonts w:ascii="Times New Roman" w:eastAsia="Calibri" w:hAnsi="Times New Roman" w:cs="Times New Roman"/>
          <w:sz w:val="20"/>
          <w:szCs w:val="20"/>
        </w:rPr>
      </w:pPr>
      <w:r w:rsidRPr="00661C0A">
        <w:rPr>
          <w:rFonts w:ascii="Times New Roman" w:eastAsia="Calibri" w:hAnsi="Times New Roman" w:cs="Times New Roman"/>
          <w:b/>
          <w:i/>
          <w:iCs/>
          <w:sz w:val="20"/>
          <w:szCs w:val="20"/>
          <w:bdr w:val="none" w:sz="0" w:space="0" w:color="auto" w:frame="1"/>
        </w:rPr>
        <w:t>Važeće tržišne cijene</w:t>
      </w:r>
      <w:r w:rsidRPr="00661C0A">
        <w:rPr>
          <w:rFonts w:ascii="Times New Roman" w:eastAsia="Calibri" w:hAnsi="Times New Roman" w:cs="Times New Roman"/>
          <w:i/>
          <w:iCs/>
          <w:sz w:val="20"/>
          <w:szCs w:val="20"/>
          <w:bdr w:val="none" w:sz="0" w:space="0" w:color="auto" w:frame="1"/>
        </w:rPr>
        <w:t> </w:t>
      </w:r>
      <w:r w:rsidRPr="00661C0A">
        <w:rPr>
          <w:rFonts w:ascii="Times New Roman" w:eastAsia="Calibri" w:hAnsi="Times New Roman" w:cs="Times New Roman"/>
          <w:sz w:val="20"/>
          <w:szCs w:val="20"/>
        </w:rPr>
        <w:t>su cijene određene na odgovarajućem tržištu;</w:t>
      </w:r>
    </w:p>
    <w:p w14:paraId="25F4C409" w14:textId="77777777" w:rsidR="00E732EF" w:rsidRPr="00661C0A" w:rsidRDefault="00E732EF" w:rsidP="00E732EF">
      <w:pPr>
        <w:spacing w:after="0" w:line="240" w:lineRule="auto"/>
        <w:jc w:val="both"/>
        <w:rPr>
          <w:rFonts w:ascii="Times New Roman" w:eastAsia="Calibri" w:hAnsi="Times New Roman" w:cs="Times New Roman"/>
          <w:sz w:val="20"/>
          <w:szCs w:val="20"/>
        </w:rPr>
      </w:pPr>
      <w:r w:rsidRPr="00661C0A">
        <w:rPr>
          <w:rFonts w:ascii="Times New Roman" w:eastAsia="Calibri" w:hAnsi="Times New Roman" w:cs="Times New Roman"/>
          <w:b/>
          <w:i/>
          <w:iCs/>
          <w:sz w:val="20"/>
          <w:szCs w:val="20"/>
          <w:bdr w:val="none" w:sz="0" w:space="0" w:color="auto" w:frame="1"/>
        </w:rPr>
        <w:t>Jedinstvene cijene</w:t>
      </w:r>
      <w:r w:rsidRPr="00661C0A">
        <w:rPr>
          <w:rFonts w:ascii="Times New Roman" w:eastAsia="Calibri" w:hAnsi="Times New Roman" w:cs="Times New Roman"/>
          <w:i/>
          <w:iCs/>
          <w:sz w:val="20"/>
          <w:szCs w:val="20"/>
          <w:bdr w:val="none" w:sz="0" w:space="0" w:color="auto" w:frame="1"/>
        </w:rPr>
        <w:t> </w:t>
      </w:r>
      <w:r w:rsidRPr="00661C0A">
        <w:rPr>
          <w:rFonts w:ascii="Times New Roman" w:eastAsia="Calibri" w:hAnsi="Times New Roman" w:cs="Times New Roman"/>
          <w:sz w:val="20"/>
          <w:szCs w:val="20"/>
        </w:rPr>
        <w:t>su cijene koje donosi, objavljuje i unosi u Registar šteta Državno povjerenstvo za procjenu šteta od prirodnih nepogoda na prijedlog nadležnog ministarstva;</w:t>
      </w:r>
    </w:p>
    <w:p w14:paraId="3A1155E0" w14:textId="77777777" w:rsidR="00E732EF" w:rsidRPr="00661C0A" w:rsidRDefault="00E732EF" w:rsidP="00E732EF">
      <w:pPr>
        <w:spacing w:after="0" w:line="240" w:lineRule="auto"/>
        <w:jc w:val="both"/>
        <w:rPr>
          <w:rFonts w:ascii="Times New Roman" w:eastAsia="Calibri" w:hAnsi="Times New Roman" w:cs="Times New Roman"/>
          <w:sz w:val="20"/>
          <w:szCs w:val="20"/>
        </w:rPr>
      </w:pPr>
      <w:r w:rsidRPr="00661C0A">
        <w:rPr>
          <w:rFonts w:ascii="Times New Roman" w:eastAsia="Calibri" w:hAnsi="Times New Roman" w:cs="Times New Roman"/>
          <w:b/>
          <w:i/>
          <w:iCs/>
          <w:sz w:val="20"/>
          <w:szCs w:val="20"/>
          <w:bdr w:val="none" w:sz="0" w:space="0" w:color="auto" w:frame="1"/>
        </w:rPr>
        <w:t>Realna procjena vrijednosti imovine</w:t>
      </w:r>
      <w:r w:rsidRPr="00661C0A">
        <w:rPr>
          <w:rFonts w:ascii="Times New Roman" w:eastAsia="Calibri" w:hAnsi="Times New Roman" w:cs="Times New Roman"/>
          <w:i/>
          <w:iCs/>
          <w:sz w:val="20"/>
          <w:szCs w:val="20"/>
          <w:bdr w:val="none" w:sz="0" w:space="0" w:color="auto" w:frame="1"/>
        </w:rPr>
        <w:t> </w:t>
      </w:r>
      <w:r w:rsidRPr="00661C0A">
        <w:rPr>
          <w:rFonts w:ascii="Times New Roman" w:eastAsia="Calibri" w:hAnsi="Times New Roman" w:cs="Times New Roman"/>
          <w:sz w:val="20"/>
          <w:szCs w:val="20"/>
        </w:rPr>
        <w:t>je procjena imovine od strane nadležnih ministarstava;</w:t>
      </w:r>
    </w:p>
    <w:p w14:paraId="46184C97" w14:textId="77777777" w:rsidR="00E732EF" w:rsidRPr="00661C0A" w:rsidRDefault="00E732EF" w:rsidP="00E732EF">
      <w:pPr>
        <w:spacing w:after="0" w:line="240" w:lineRule="auto"/>
        <w:jc w:val="both"/>
        <w:rPr>
          <w:rFonts w:ascii="Times New Roman" w:eastAsia="Calibri" w:hAnsi="Times New Roman" w:cs="Times New Roman"/>
          <w:sz w:val="20"/>
          <w:szCs w:val="20"/>
        </w:rPr>
      </w:pPr>
      <w:r w:rsidRPr="00661C0A">
        <w:rPr>
          <w:rFonts w:ascii="Times New Roman" w:eastAsia="Calibri" w:hAnsi="Times New Roman" w:cs="Times New Roman"/>
          <w:b/>
          <w:i/>
          <w:iCs/>
          <w:sz w:val="20"/>
          <w:szCs w:val="20"/>
          <w:bdr w:val="none" w:sz="0" w:space="0" w:color="auto" w:frame="1"/>
        </w:rPr>
        <w:t>Registar šteta</w:t>
      </w:r>
      <w:r w:rsidRPr="00661C0A">
        <w:rPr>
          <w:rFonts w:ascii="Times New Roman" w:eastAsia="Calibri" w:hAnsi="Times New Roman" w:cs="Times New Roman"/>
          <w:i/>
          <w:iCs/>
          <w:sz w:val="20"/>
          <w:szCs w:val="20"/>
          <w:bdr w:val="none" w:sz="0" w:space="0" w:color="auto" w:frame="1"/>
        </w:rPr>
        <w:t> </w:t>
      </w:r>
      <w:r w:rsidRPr="00661C0A">
        <w:rPr>
          <w:rFonts w:ascii="Times New Roman" w:eastAsia="Calibri" w:hAnsi="Times New Roman" w:cs="Times New Roman"/>
          <w:sz w:val="20"/>
          <w:szCs w:val="20"/>
        </w:rPr>
        <w:t>je digitalna baza podataka svih šteta nastalih zbog prirodnih nepogoda na području Republike Hrvatske;</w:t>
      </w:r>
    </w:p>
    <w:p w14:paraId="2D3F0B02" w14:textId="77777777" w:rsidR="00E732EF" w:rsidRPr="00661C0A" w:rsidRDefault="00E732EF" w:rsidP="00E732EF">
      <w:pPr>
        <w:spacing w:after="0" w:line="240" w:lineRule="auto"/>
        <w:jc w:val="both"/>
        <w:rPr>
          <w:rFonts w:ascii="Times New Roman" w:eastAsia="Calibri" w:hAnsi="Times New Roman" w:cs="Times New Roman"/>
          <w:sz w:val="20"/>
          <w:szCs w:val="20"/>
        </w:rPr>
      </w:pPr>
      <w:r w:rsidRPr="00661C0A">
        <w:rPr>
          <w:rFonts w:ascii="Times New Roman" w:eastAsia="Calibri" w:hAnsi="Times New Roman" w:cs="Times New Roman"/>
          <w:b/>
          <w:i/>
          <w:iCs/>
          <w:sz w:val="20"/>
          <w:szCs w:val="20"/>
          <w:bdr w:val="none" w:sz="0" w:space="0" w:color="auto" w:frame="1"/>
        </w:rPr>
        <w:t>Štete u ribarstvu</w:t>
      </w:r>
      <w:r w:rsidRPr="00661C0A">
        <w:rPr>
          <w:rFonts w:ascii="Times New Roman" w:eastAsia="Calibri" w:hAnsi="Times New Roman" w:cs="Times New Roman"/>
          <w:i/>
          <w:iCs/>
          <w:sz w:val="20"/>
          <w:szCs w:val="20"/>
          <w:bdr w:val="none" w:sz="0" w:space="0" w:color="auto" w:frame="1"/>
        </w:rPr>
        <w:t> </w:t>
      </w:r>
      <w:r w:rsidRPr="00661C0A">
        <w:rPr>
          <w:rFonts w:ascii="Times New Roman" w:eastAsia="Calibri" w:hAnsi="Times New Roman" w:cs="Times New Roman"/>
          <w:sz w:val="20"/>
          <w:szCs w:val="20"/>
        </w:rPr>
        <w:t>su štete na imovini i/ili proizvodnji proizvoda ribarstva i akvakulture;</w:t>
      </w:r>
    </w:p>
    <w:p w14:paraId="66961082" w14:textId="77777777" w:rsidR="00E732EF" w:rsidRPr="00661C0A" w:rsidRDefault="00E732EF" w:rsidP="00E732EF">
      <w:pPr>
        <w:spacing w:after="0" w:line="240" w:lineRule="auto"/>
        <w:jc w:val="both"/>
        <w:rPr>
          <w:rFonts w:ascii="Times New Roman" w:eastAsia="Calibri" w:hAnsi="Times New Roman" w:cs="Times New Roman"/>
          <w:sz w:val="20"/>
          <w:szCs w:val="20"/>
        </w:rPr>
      </w:pPr>
      <w:r w:rsidRPr="00661C0A">
        <w:rPr>
          <w:rFonts w:ascii="Times New Roman" w:eastAsia="Calibri" w:hAnsi="Times New Roman" w:cs="Times New Roman"/>
          <w:b/>
          <w:i/>
          <w:iCs/>
          <w:sz w:val="20"/>
          <w:szCs w:val="20"/>
          <w:bdr w:val="none" w:sz="0" w:space="0" w:color="auto" w:frame="1"/>
        </w:rPr>
        <w:t>Žurna pomoć</w:t>
      </w:r>
      <w:r w:rsidRPr="00661C0A">
        <w:rPr>
          <w:rFonts w:ascii="Times New Roman" w:eastAsia="Calibri" w:hAnsi="Times New Roman" w:cs="Times New Roman"/>
          <w:i/>
          <w:iCs/>
          <w:sz w:val="20"/>
          <w:szCs w:val="20"/>
          <w:bdr w:val="none" w:sz="0" w:space="0" w:color="auto" w:frame="1"/>
        </w:rPr>
        <w:t> </w:t>
      </w:r>
      <w:r w:rsidRPr="00661C0A">
        <w:rPr>
          <w:rFonts w:ascii="Times New Roman" w:eastAsia="Calibri" w:hAnsi="Times New Roman" w:cs="Times New Roman"/>
          <w:sz w:val="20"/>
          <w:szCs w:val="20"/>
        </w:rPr>
        <w:t>je pomoć koja se dodjeljuje u slučajevima u kojima su posljedice na imovini stanovništva, pravnih osoba i javnoj infrastrukturi uzrokovane prirodnom nepogodom i/ili katastrofom takve da prijete ugrozom zdravlja i života stanovništva na područjima zahvaćenim prirodnom nepogodom.</w:t>
      </w:r>
    </w:p>
    <w:p w14:paraId="260441B1" w14:textId="77777777" w:rsidR="00E732EF" w:rsidRPr="00661C0A" w:rsidRDefault="00E732EF" w:rsidP="00E732EF">
      <w:pPr>
        <w:spacing w:after="0" w:line="240" w:lineRule="auto"/>
        <w:jc w:val="both"/>
        <w:rPr>
          <w:rFonts w:ascii="Times New Roman" w:eastAsia="Calibri" w:hAnsi="Times New Roman" w:cs="Times New Roman"/>
          <w:sz w:val="20"/>
          <w:szCs w:val="20"/>
        </w:rPr>
      </w:pPr>
    </w:p>
    <w:p w14:paraId="0C58DD73" w14:textId="77777777" w:rsidR="00E732EF" w:rsidRPr="00485646" w:rsidRDefault="00E732EF" w:rsidP="00E732EF">
      <w:pPr>
        <w:shd w:val="clear" w:color="auto" w:fill="FFFFFF"/>
        <w:spacing w:after="0" w:line="240" w:lineRule="auto"/>
        <w:jc w:val="both"/>
        <w:rPr>
          <w:rFonts w:ascii="Times New Roman" w:eastAsia="Calibri" w:hAnsi="Times New Roman" w:cs="Times New Roman"/>
          <w:sz w:val="20"/>
          <w:szCs w:val="20"/>
        </w:rPr>
      </w:pPr>
      <w:r w:rsidRPr="00485646">
        <w:rPr>
          <w:rFonts w:ascii="Times New Roman" w:eastAsia="Calibri" w:hAnsi="Times New Roman" w:cs="Times New Roman"/>
          <w:sz w:val="20"/>
          <w:szCs w:val="20"/>
        </w:rPr>
        <w:t>Zakonom o ublažavanju i uklanjanju posljedica prirodnih nepogod</w:t>
      </w:r>
      <w:r w:rsidR="00485646" w:rsidRPr="00485646">
        <w:rPr>
          <w:rFonts w:ascii="Times New Roman" w:eastAsia="Calibri" w:hAnsi="Times New Roman" w:cs="Times New Roman"/>
          <w:sz w:val="20"/>
          <w:szCs w:val="20"/>
        </w:rPr>
        <w:t>a („Narodne novine“, broj 16/19</w:t>
      </w:r>
      <w:r w:rsidRPr="00485646">
        <w:rPr>
          <w:rFonts w:ascii="Times New Roman" w:eastAsia="Calibri" w:hAnsi="Times New Roman" w:cs="Times New Roman"/>
          <w:sz w:val="20"/>
          <w:szCs w:val="20"/>
        </w:rPr>
        <w:t>), uređeni su kriteriji i ovlasti za proglašenje prirodne nepogode, način procjene štete od prirodne nepogode, postupak dodjele pomoći za ublažavanje i djelomično uklanjanje posljedica prirodnih nepogoda nastalih na području Republike Hrvatske, vođenje Registra šteta od prirodnih nepogoda te druga pitanja u vezi s dodjelom pomoći za ublažavanje i djelomično uklanjanje posljedica prirodnih nepogoda.</w:t>
      </w:r>
    </w:p>
    <w:p w14:paraId="48343674" w14:textId="77777777" w:rsidR="00E732EF" w:rsidRPr="00661C0A" w:rsidRDefault="00E732EF" w:rsidP="00E732EF">
      <w:pPr>
        <w:shd w:val="clear" w:color="auto" w:fill="FFFFFF"/>
        <w:spacing w:after="0" w:line="240" w:lineRule="auto"/>
        <w:jc w:val="both"/>
        <w:rPr>
          <w:rFonts w:ascii="Times New Roman" w:eastAsia="Calibri" w:hAnsi="Times New Roman" w:cs="Times New Roman"/>
          <w:b/>
          <w:bCs/>
        </w:rPr>
      </w:pPr>
    </w:p>
    <w:p w14:paraId="1619EA64" w14:textId="19AAF07D" w:rsidR="00E732EF" w:rsidRPr="00661C0A" w:rsidRDefault="00E732EF" w:rsidP="00E732EF">
      <w:pPr>
        <w:shd w:val="clear" w:color="auto" w:fill="FFFFFF"/>
        <w:spacing w:after="0" w:line="240" w:lineRule="auto"/>
        <w:jc w:val="both"/>
        <w:rPr>
          <w:rFonts w:ascii="Times New Roman" w:eastAsia="Calibri" w:hAnsi="Times New Roman" w:cs="Times New Roman"/>
          <w:b/>
          <w:bCs/>
        </w:rPr>
      </w:pPr>
      <w:r w:rsidRPr="00661C0A">
        <w:rPr>
          <w:rFonts w:ascii="Times New Roman" w:eastAsia="Calibri" w:hAnsi="Times New Roman" w:cs="Times New Roman"/>
          <w:b/>
          <w:bCs/>
        </w:rPr>
        <w:t xml:space="preserve">Nakon </w:t>
      </w:r>
      <w:r w:rsidRPr="00661C0A">
        <w:rPr>
          <w:rFonts w:ascii="Times New Roman" w:eastAsia="Calibri" w:hAnsi="Times New Roman" w:cs="Times New Roman"/>
          <w:b/>
          <w:bCs/>
          <w:i/>
          <w:iCs/>
        </w:rPr>
        <w:t>Zakona</w:t>
      </w:r>
      <w:r w:rsidRPr="00661C0A">
        <w:rPr>
          <w:rFonts w:ascii="Times New Roman" w:eastAsia="Calibri" w:hAnsi="Times New Roman" w:cs="Times New Roman"/>
          <w:b/>
          <w:bCs/>
        </w:rPr>
        <w:t xml:space="preserve"> donijet je </w:t>
      </w:r>
      <w:r w:rsidRPr="00661C0A">
        <w:rPr>
          <w:rFonts w:ascii="Times New Roman" w:eastAsia="Calibri" w:hAnsi="Times New Roman" w:cs="Times New Roman"/>
          <w:b/>
          <w:bCs/>
          <w:i/>
          <w:iCs/>
        </w:rPr>
        <w:t>Pravilnik o registru šteta od prirodnih nepogoda</w:t>
      </w:r>
      <w:r w:rsidR="00485646">
        <w:rPr>
          <w:rFonts w:ascii="Times New Roman" w:eastAsia="Calibri" w:hAnsi="Times New Roman" w:cs="Times New Roman"/>
          <w:b/>
          <w:bCs/>
        </w:rPr>
        <w:t xml:space="preserve"> („Narodne novine“, broj 65/19</w:t>
      </w:r>
      <w:r w:rsidRPr="00661C0A">
        <w:rPr>
          <w:rFonts w:ascii="Times New Roman" w:eastAsia="Calibri" w:hAnsi="Times New Roman" w:cs="Times New Roman"/>
          <w:b/>
          <w:bCs/>
        </w:rPr>
        <w:t>).</w:t>
      </w:r>
    </w:p>
    <w:p w14:paraId="7B41C788" w14:textId="77777777" w:rsidR="00E732EF" w:rsidRPr="00661C0A" w:rsidRDefault="00E732EF" w:rsidP="00E732EF">
      <w:pPr>
        <w:shd w:val="clear" w:color="auto" w:fill="FFFFFF"/>
        <w:spacing w:after="0" w:line="240" w:lineRule="auto"/>
        <w:jc w:val="both"/>
        <w:rPr>
          <w:rFonts w:ascii="Times New Roman" w:eastAsia="Calibri" w:hAnsi="Times New Roman" w:cs="Times New Roman"/>
        </w:rPr>
      </w:pPr>
    </w:p>
    <w:p w14:paraId="25909801" w14:textId="77777777" w:rsidR="00E732EF" w:rsidRPr="00661C0A" w:rsidRDefault="00E732EF" w:rsidP="00E732EF">
      <w:pPr>
        <w:shd w:val="clear" w:color="auto" w:fill="FFFFFF"/>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Pravilnikom o Registru šteta od prirodnih nepogoda (u daljnjem tekstu: </w:t>
      </w:r>
      <w:r w:rsidRPr="00661C0A">
        <w:rPr>
          <w:rFonts w:ascii="Times New Roman" w:eastAsia="Calibri" w:hAnsi="Times New Roman" w:cs="Times New Roman"/>
          <w:b/>
          <w:bCs/>
        </w:rPr>
        <w:t>Pravilnik</w:t>
      </w:r>
      <w:r w:rsidRPr="00661C0A">
        <w:rPr>
          <w:rFonts w:ascii="Times New Roman" w:eastAsia="Calibri" w:hAnsi="Times New Roman" w:cs="Times New Roman"/>
        </w:rPr>
        <w:t>) propisuje se sadržaj, oblik i način dostave podataka o nastalim štetama od p</w:t>
      </w:r>
      <w:r w:rsidR="00485646">
        <w:rPr>
          <w:rFonts w:ascii="Times New Roman" w:eastAsia="Calibri" w:hAnsi="Times New Roman" w:cs="Times New Roman"/>
        </w:rPr>
        <w:t>rirodnih nepogoda iz članaka 12, 13, 14, 25, 2., 39 i 41</w:t>
      </w:r>
      <w:r w:rsidRPr="00661C0A">
        <w:rPr>
          <w:rFonts w:ascii="Times New Roman" w:eastAsia="Calibri" w:hAnsi="Times New Roman" w:cs="Times New Roman"/>
        </w:rPr>
        <w:t xml:space="preserve"> Zakona.</w:t>
      </w:r>
    </w:p>
    <w:p w14:paraId="372431E9" w14:textId="77777777" w:rsidR="00E732EF" w:rsidRPr="00661C0A" w:rsidRDefault="00E732EF" w:rsidP="00E732EF">
      <w:pPr>
        <w:shd w:val="clear" w:color="auto" w:fill="FFFFFF"/>
        <w:rPr>
          <w:rFonts w:ascii="Times New Roman" w:eastAsia="Calibri" w:hAnsi="Times New Roman" w:cs="Times New Roman"/>
        </w:rPr>
      </w:pPr>
    </w:p>
    <w:p w14:paraId="029B7F6E" w14:textId="77777777" w:rsidR="00E732EF" w:rsidRPr="00661C0A" w:rsidRDefault="00E732EF" w:rsidP="00E732EF">
      <w:pPr>
        <w:rPr>
          <w:rFonts w:ascii="Times New Roman" w:eastAsia="Calibri" w:hAnsi="Times New Roman" w:cs="Times New Roman"/>
        </w:rPr>
      </w:pPr>
    </w:p>
    <w:p w14:paraId="227452E3" w14:textId="77777777" w:rsidR="00E732EF" w:rsidRPr="00661C0A" w:rsidRDefault="00E732EF" w:rsidP="00E732EF">
      <w:pPr>
        <w:rPr>
          <w:rFonts w:ascii="Times New Roman" w:eastAsia="Calibri" w:hAnsi="Times New Roman" w:cs="Times New Roman"/>
        </w:rPr>
      </w:pPr>
    </w:p>
    <w:p w14:paraId="639CA395" w14:textId="77777777" w:rsidR="00E732EF" w:rsidRDefault="00E732EF" w:rsidP="00E732EF">
      <w:pPr>
        <w:rPr>
          <w:rFonts w:ascii="Times New Roman" w:eastAsia="Calibri" w:hAnsi="Times New Roman" w:cs="Times New Roman"/>
        </w:rPr>
      </w:pPr>
    </w:p>
    <w:p w14:paraId="0B3C8929" w14:textId="77777777" w:rsidR="00485646" w:rsidRPr="00E732EF" w:rsidRDefault="00485646" w:rsidP="00E732EF">
      <w:pPr>
        <w:rPr>
          <w:rFonts w:ascii="Times New Roman" w:eastAsia="Calibri" w:hAnsi="Times New Roman" w:cs="Times New Roman"/>
        </w:rPr>
      </w:pPr>
    </w:p>
    <w:p w14:paraId="2C66B14D" w14:textId="77777777" w:rsidR="00E732EF" w:rsidRPr="00E732EF" w:rsidRDefault="00E732EF" w:rsidP="00E732EF">
      <w:pPr>
        <w:rPr>
          <w:rFonts w:ascii="Times New Roman" w:eastAsia="Calibri" w:hAnsi="Times New Roman" w:cs="Times New Roman"/>
          <w:b/>
        </w:rPr>
      </w:pPr>
      <w:r w:rsidRPr="00E732EF">
        <w:rPr>
          <w:rFonts w:ascii="Times New Roman" w:eastAsia="Calibri" w:hAnsi="Times New Roman" w:cs="Times New Roman"/>
          <w:b/>
        </w:rPr>
        <w:lastRenderedPageBreak/>
        <w:t xml:space="preserve">SADRŽAJ </w:t>
      </w:r>
    </w:p>
    <w:p w14:paraId="7AACB4C8" w14:textId="77777777" w:rsidR="00E732EF" w:rsidRPr="00E732EF" w:rsidRDefault="00E732EF" w:rsidP="00E732EF">
      <w:pPr>
        <w:rPr>
          <w:rFonts w:ascii="Times New Roman" w:eastAsia="Calibri" w:hAnsi="Times New Roman" w:cs="Times New Roman"/>
          <w:b/>
        </w:rPr>
      </w:pPr>
      <w:r w:rsidRPr="00E732EF">
        <w:rPr>
          <w:rFonts w:ascii="Times New Roman" w:eastAsia="Calibri" w:hAnsi="Times New Roman" w:cs="Times New Roman"/>
          <w:b/>
        </w:rPr>
        <w:t>Pojmovnik</w:t>
      </w:r>
    </w:p>
    <w:p w14:paraId="4EA04661" w14:textId="77777777" w:rsidR="00E732EF" w:rsidRPr="00E732EF" w:rsidRDefault="00E732EF" w:rsidP="00E732EF">
      <w:pPr>
        <w:rPr>
          <w:rFonts w:ascii="Times New Roman" w:eastAsia="Calibri" w:hAnsi="Times New Roman" w:cs="Times New Roman"/>
          <w:b/>
        </w:rPr>
      </w:pPr>
      <w:r w:rsidRPr="00E732EF">
        <w:rPr>
          <w:rFonts w:ascii="Times New Roman" w:eastAsia="Calibri" w:hAnsi="Times New Roman" w:cs="Times New Roman"/>
          <w:b/>
        </w:rPr>
        <w:t>Uvod</w:t>
      </w:r>
    </w:p>
    <w:p w14:paraId="75B8DC77"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 1. MOGUĆE UGROZE NA PODRUČJU OPĆINE SVETI JURAJ NA BREGU......................</w:t>
      </w:r>
      <w:r w:rsidRPr="00E732EF">
        <w:rPr>
          <w:rFonts w:ascii="Times New Roman" w:eastAsia="Calibri" w:hAnsi="Times New Roman" w:cs="Times New Roman"/>
        </w:rPr>
        <w:tab/>
        <w:t>5</w:t>
      </w:r>
    </w:p>
    <w:p w14:paraId="4FEEAA48"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    1.1. UGROZE DEFINIRANE ZAKONOM .............................................................................</w:t>
      </w:r>
      <w:r w:rsidRPr="00E732EF">
        <w:rPr>
          <w:rFonts w:ascii="Times New Roman" w:eastAsia="Calibri" w:hAnsi="Times New Roman" w:cs="Times New Roman"/>
        </w:rPr>
        <w:tab/>
        <w:t>5</w:t>
      </w:r>
    </w:p>
    <w:p w14:paraId="1207591C"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    1.2.  UGROZE ZABILJEŽENE NA PODRUČJU  OPĆINE……………...........................</w:t>
      </w:r>
      <w:r w:rsidRPr="00E732EF">
        <w:rPr>
          <w:rFonts w:ascii="Times New Roman" w:eastAsia="Calibri" w:hAnsi="Times New Roman" w:cs="Times New Roman"/>
        </w:rPr>
        <w:tab/>
        <w:t xml:space="preserve">5 </w:t>
      </w:r>
    </w:p>
    <w:p w14:paraId="3EF24F8E"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    1.3. UGROZE KOJE ĆE SE OBRAĐIVATI OVIM PLANOM DJELOVANJA.................. </w:t>
      </w:r>
      <w:r w:rsidRPr="00E732EF">
        <w:rPr>
          <w:rFonts w:ascii="Times New Roman" w:eastAsia="Calibri" w:hAnsi="Times New Roman" w:cs="Times New Roman"/>
        </w:rPr>
        <w:tab/>
        <w:t>6</w:t>
      </w:r>
    </w:p>
    <w:p w14:paraId="70E2BFE4"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  2. POPIS MERA I NOSITELJA MJERA U SLUČAJU NASTAJANJA PRIRODNE </w:t>
      </w:r>
    </w:p>
    <w:p w14:paraId="45E88EB4"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    NEPOGODE………………………………………………………………………………..</w:t>
      </w:r>
      <w:r w:rsidRPr="00E732EF">
        <w:rPr>
          <w:rFonts w:ascii="Times New Roman" w:eastAsia="Calibri" w:hAnsi="Times New Roman" w:cs="Times New Roman"/>
        </w:rPr>
        <w:tab/>
        <w:t xml:space="preserve">6 </w:t>
      </w:r>
    </w:p>
    <w:p w14:paraId="05B7796B"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    2.1. POPIS MJERA PO PRIRODNIM  NEPOGODAMA ..............................................</w:t>
      </w:r>
      <w:r w:rsidRPr="00E732EF">
        <w:rPr>
          <w:rFonts w:ascii="Times New Roman" w:eastAsia="Calibri" w:hAnsi="Times New Roman" w:cs="Times New Roman"/>
        </w:rPr>
        <w:tab/>
        <w:t xml:space="preserve">7 </w:t>
      </w:r>
    </w:p>
    <w:p w14:paraId="6AB9B22B"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        2.1.1. SUŠA .........................................................................................................................</w:t>
      </w:r>
      <w:r w:rsidRPr="00E732EF">
        <w:rPr>
          <w:rFonts w:ascii="Times New Roman" w:eastAsia="Calibri" w:hAnsi="Times New Roman" w:cs="Times New Roman"/>
        </w:rPr>
        <w:tab/>
        <w:t>12</w:t>
      </w:r>
    </w:p>
    <w:p w14:paraId="70F51394"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        2.1.2. OLUJNO I ORKANSKO NEVRIJEME ..................................................................</w:t>
      </w:r>
      <w:r w:rsidRPr="00E732EF">
        <w:rPr>
          <w:rFonts w:ascii="Times New Roman" w:eastAsia="Calibri" w:hAnsi="Times New Roman" w:cs="Times New Roman"/>
        </w:rPr>
        <w:tab/>
        <w:t xml:space="preserve">14 </w:t>
      </w:r>
    </w:p>
    <w:p w14:paraId="04FD0D8E"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        2.1.3. SNJEŽNE OBORINE .............................................................................................. </w:t>
      </w:r>
      <w:r w:rsidRPr="00E732EF">
        <w:rPr>
          <w:rFonts w:ascii="Times New Roman" w:eastAsia="Calibri" w:hAnsi="Times New Roman" w:cs="Times New Roman"/>
        </w:rPr>
        <w:tab/>
        <w:t>18</w:t>
      </w:r>
    </w:p>
    <w:p w14:paraId="7AFDAC91"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        2.1.4. POLEDICE ............................................................................................................ .</w:t>
      </w:r>
      <w:r w:rsidRPr="00E732EF">
        <w:rPr>
          <w:rFonts w:ascii="Times New Roman" w:eastAsia="Calibri" w:hAnsi="Times New Roman" w:cs="Times New Roman"/>
        </w:rPr>
        <w:tab/>
        <w:t>19</w:t>
      </w:r>
    </w:p>
    <w:p w14:paraId="70D2286A"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        2.1.5. TUČA ....................................................................................................................</w:t>
      </w:r>
      <w:r w:rsidRPr="00E732EF">
        <w:rPr>
          <w:rFonts w:ascii="Times New Roman" w:eastAsia="Calibri" w:hAnsi="Times New Roman" w:cs="Times New Roman"/>
        </w:rPr>
        <w:tab/>
        <w:t>21</w:t>
      </w:r>
    </w:p>
    <w:p w14:paraId="49656085"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        2.1.6. KLIZIŠTA TLA…………………………………………………………………….. </w:t>
      </w:r>
      <w:r w:rsidRPr="00E732EF">
        <w:rPr>
          <w:rFonts w:ascii="Times New Roman" w:eastAsia="Calibri" w:hAnsi="Times New Roman" w:cs="Times New Roman"/>
        </w:rPr>
        <w:tab/>
        <w:t>23</w:t>
      </w:r>
    </w:p>
    <w:p w14:paraId="5134AB74"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    2.2. NOSITELJI MJERA PO PRIRODNIM NEPOGODAMA ..........................................</w:t>
      </w:r>
      <w:r w:rsidRPr="00E732EF">
        <w:rPr>
          <w:rFonts w:ascii="Times New Roman" w:eastAsia="Calibri" w:hAnsi="Times New Roman" w:cs="Times New Roman"/>
        </w:rPr>
        <w:tab/>
        <w:t xml:space="preserve">27 </w:t>
      </w:r>
    </w:p>
    <w:p w14:paraId="6CA25283"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3. PROCJENA OSIGURANJA OPREME I DRUGIH SREDSTAVA ZA ZAŠTITU I SPRJEČAVANJE STRADANJA IMOVINE, GOSPODARSKIH FUNKCIJA I STRADANJA STANOVNIŠTVA .................. ………………………………………………………………</w:t>
      </w:r>
      <w:r w:rsidRPr="00E732EF">
        <w:rPr>
          <w:rFonts w:ascii="Times New Roman" w:eastAsia="Calibri" w:hAnsi="Times New Roman" w:cs="Times New Roman"/>
        </w:rPr>
        <w:tab/>
        <w:t>28</w:t>
      </w:r>
    </w:p>
    <w:p w14:paraId="2A444F79"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4. OSTALE MJERE KOJE UKLJUČUJU SURADNJU S NADLEŽNIM TIJELIMA  (ŽUPANIJA, MINISTARSTVO, STRUČNJAKA ZA PODRUČJE PRIRODNIH NEPOGODA) …….....</w:t>
      </w:r>
      <w:r w:rsidRPr="00E732EF">
        <w:rPr>
          <w:rFonts w:ascii="Times New Roman" w:eastAsia="Calibri" w:hAnsi="Times New Roman" w:cs="Times New Roman"/>
        </w:rPr>
        <w:tab/>
        <w:t>29</w:t>
      </w:r>
    </w:p>
    <w:p w14:paraId="19A98D61"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 ZAKLJUČAK .........................................................................................................................</w:t>
      </w:r>
      <w:r w:rsidRPr="00E732EF">
        <w:rPr>
          <w:rFonts w:ascii="Times New Roman" w:eastAsia="Calibri" w:hAnsi="Times New Roman" w:cs="Times New Roman"/>
        </w:rPr>
        <w:tab/>
        <w:t>29</w:t>
      </w:r>
    </w:p>
    <w:p w14:paraId="18A19377"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Prilozi…………………………………………………………………………………………  31-37</w:t>
      </w:r>
    </w:p>
    <w:p w14:paraId="09A2EBD0" w14:textId="77777777" w:rsidR="00E732EF" w:rsidRPr="00E732EF" w:rsidRDefault="00E732EF" w:rsidP="00E732EF">
      <w:pPr>
        <w:numPr>
          <w:ilvl w:val="0"/>
          <w:numId w:val="26"/>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Prilog 1: Važeća Odluka o Povjerenstvu za procjenu šteta Općine</w:t>
      </w:r>
    </w:p>
    <w:p w14:paraId="4A3D4B27" w14:textId="77777777" w:rsidR="00E732EF" w:rsidRPr="00E732EF" w:rsidRDefault="00E732EF" w:rsidP="00E732EF">
      <w:pPr>
        <w:spacing w:after="0" w:line="240" w:lineRule="auto"/>
        <w:jc w:val="both"/>
        <w:rPr>
          <w:rFonts w:ascii="Times New Roman" w:eastAsia="Calibri" w:hAnsi="Times New Roman" w:cs="Times New Roman"/>
        </w:rPr>
      </w:pPr>
    </w:p>
    <w:p w14:paraId="2C78E0AD" w14:textId="77777777" w:rsidR="00E732EF" w:rsidRPr="00E732EF" w:rsidRDefault="00E732EF" w:rsidP="00E732EF">
      <w:pPr>
        <w:numPr>
          <w:ilvl w:val="0"/>
          <w:numId w:val="26"/>
        </w:numPr>
        <w:spacing w:after="0" w:line="240" w:lineRule="auto"/>
        <w:jc w:val="both"/>
        <w:rPr>
          <w:rFonts w:ascii="Times New Roman" w:eastAsia="Calibri" w:hAnsi="Times New Roman" w:cs="Times New Roman"/>
          <w:b/>
          <w:bCs/>
        </w:rPr>
      </w:pPr>
      <w:r w:rsidRPr="00E732EF">
        <w:rPr>
          <w:rFonts w:ascii="Times New Roman" w:eastAsia="Calibri" w:hAnsi="Times New Roman" w:cs="Times New Roman"/>
        </w:rPr>
        <w:t xml:space="preserve">Prilog 2: Obrazloženje za Općinsko vijeće Općine Sveti Juraj na Bregu -  </w:t>
      </w:r>
      <w:r w:rsidRPr="00E732EF">
        <w:rPr>
          <w:rFonts w:ascii="Times New Roman" w:eastAsia="Calibri" w:hAnsi="Times New Roman" w:cs="Times New Roman"/>
          <w:b/>
          <w:bCs/>
        </w:rPr>
        <w:t>Cilj nove zakonske regulative</w:t>
      </w:r>
    </w:p>
    <w:p w14:paraId="34500798" w14:textId="77777777" w:rsidR="00E732EF" w:rsidRPr="00E732EF" w:rsidRDefault="00E732EF" w:rsidP="00E732EF">
      <w:pPr>
        <w:spacing w:after="0" w:line="240" w:lineRule="auto"/>
        <w:jc w:val="both"/>
        <w:rPr>
          <w:rFonts w:ascii="Times New Roman" w:eastAsia="Calibri" w:hAnsi="Times New Roman" w:cs="Times New Roman"/>
          <w:b/>
          <w:bCs/>
        </w:rPr>
      </w:pPr>
    </w:p>
    <w:p w14:paraId="7D401547" w14:textId="77777777" w:rsidR="00E732EF" w:rsidRPr="00E732EF" w:rsidRDefault="00E732EF" w:rsidP="00E732EF">
      <w:pPr>
        <w:numPr>
          <w:ilvl w:val="0"/>
          <w:numId w:val="26"/>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Prilog 3: Osnovni obrasci i sadržaji Područja procjena šteta A – K sa pripadajućim prilozima (tablicama)</w:t>
      </w:r>
    </w:p>
    <w:p w14:paraId="1E7D3470" w14:textId="77777777" w:rsidR="00E732EF" w:rsidRPr="00E732EF" w:rsidRDefault="00E732EF" w:rsidP="00E732EF">
      <w:pPr>
        <w:rPr>
          <w:rFonts w:ascii="Times New Roman" w:eastAsia="Calibri" w:hAnsi="Times New Roman" w:cs="Times New Roman"/>
        </w:rPr>
      </w:pPr>
    </w:p>
    <w:p w14:paraId="4451790A"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ab/>
      </w:r>
    </w:p>
    <w:p w14:paraId="049D51FF" w14:textId="77777777" w:rsidR="00E732EF" w:rsidRPr="001D72CA" w:rsidRDefault="00E732EF" w:rsidP="00E732EF">
      <w:pPr>
        <w:rPr>
          <w:rFonts w:ascii="Times New Roman" w:eastAsia="Calibri" w:hAnsi="Times New Roman" w:cs="Times New Roman"/>
          <w:b/>
          <w:bCs/>
        </w:rPr>
      </w:pPr>
      <w:r w:rsidRPr="001D72CA">
        <w:rPr>
          <w:rFonts w:ascii="Calibri" w:eastAsia="Calibri" w:hAnsi="Calibri" w:cs="Arial"/>
        </w:rPr>
        <w:lastRenderedPageBreak/>
        <w:t xml:space="preserve"> </w:t>
      </w:r>
      <w:r w:rsidRPr="001D72CA">
        <w:rPr>
          <w:rFonts w:ascii="Times New Roman" w:eastAsia="Calibri" w:hAnsi="Times New Roman" w:cs="Times New Roman"/>
        </w:rPr>
        <w:t xml:space="preserve"> </w:t>
      </w:r>
      <w:r w:rsidRPr="001D72CA">
        <w:rPr>
          <w:rFonts w:ascii="Times New Roman" w:eastAsia="Calibri" w:hAnsi="Times New Roman" w:cs="Times New Roman"/>
          <w:b/>
          <w:bCs/>
        </w:rPr>
        <w:t xml:space="preserve">UVOD </w:t>
      </w:r>
    </w:p>
    <w:p w14:paraId="225F638D"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Temeljem  Zakona o ublažavanju i uklanjanju posljedica prirodnih nepogod</w:t>
      </w:r>
      <w:r w:rsidR="00485646">
        <w:rPr>
          <w:rFonts w:ascii="Times New Roman" w:eastAsia="Calibri" w:hAnsi="Times New Roman" w:cs="Times New Roman"/>
        </w:rPr>
        <w:t>a („Narodne novine“, broj 16/19.</w:t>
      </w:r>
      <w:r w:rsidRPr="00661C0A">
        <w:rPr>
          <w:rFonts w:ascii="Times New Roman" w:eastAsia="Calibri" w:hAnsi="Times New Roman" w:cs="Times New Roman"/>
        </w:rPr>
        <w:t xml:space="preserve"> - u daljnjem tekstu „</w:t>
      </w:r>
      <w:r w:rsidRPr="00661C0A">
        <w:rPr>
          <w:rFonts w:ascii="Times New Roman" w:eastAsia="Calibri" w:hAnsi="Times New Roman" w:cs="Times New Roman"/>
          <w:b/>
          <w:bCs/>
        </w:rPr>
        <w:t>Zakon</w:t>
      </w:r>
      <w:r w:rsidRPr="00661C0A">
        <w:rPr>
          <w:rFonts w:ascii="Times New Roman" w:eastAsia="Calibri" w:hAnsi="Times New Roman" w:cs="Times New Roman"/>
        </w:rPr>
        <w:t>“) uređuju se kriteriji i ovlasti za proglašenje prirodne nepogode, procjena štete od prirodne nepogode, dodjela pomoći za ublažavanje i djelomično uklanjanje posljedica prirodnih nepogoda nastalih na području Republike Hrvatske. Naknadno je usvojen Pravilnik o registru šteta od prirodnih nepogoda („Narodne novine“, broj 65/19. - u daljnjem tekstu: „</w:t>
      </w:r>
      <w:r w:rsidRPr="00661C0A">
        <w:rPr>
          <w:rFonts w:ascii="Times New Roman" w:eastAsia="Calibri" w:hAnsi="Times New Roman" w:cs="Times New Roman"/>
          <w:b/>
          <w:bCs/>
        </w:rPr>
        <w:t>Pravilnik o registru šteta“</w:t>
      </w:r>
      <w:r w:rsidRPr="00661C0A">
        <w:rPr>
          <w:rFonts w:ascii="Times New Roman" w:eastAsia="Calibri" w:hAnsi="Times New Roman" w:cs="Times New Roman"/>
        </w:rPr>
        <w:t xml:space="preserve">) te regulirana druga pitanja u vezi s dodjelom pomoći za ublažavanje i djelomično uklanjanje posljedica prirodnih nepogoda. Člankom 17. Zakona regulirano je da Predstavničko tijelo JLP(R) samouprave do kraja studenog donosi </w:t>
      </w:r>
      <w:r w:rsidRPr="00661C0A">
        <w:rPr>
          <w:rFonts w:ascii="Times New Roman" w:eastAsia="Calibri" w:hAnsi="Times New Roman" w:cs="Times New Roman"/>
          <w:b/>
          <w:bCs/>
        </w:rPr>
        <w:t>Plan djelovanja</w:t>
      </w:r>
      <w:r w:rsidRPr="00661C0A">
        <w:rPr>
          <w:rFonts w:ascii="Times New Roman" w:eastAsia="Calibri" w:hAnsi="Times New Roman" w:cs="Times New Roman"/>
        </w:rPr>
        <w:t xml:space="preserve"> </w:t>
      </w:r>
      <w:r w:rsidRPr="00661C0A">
        <w:rPr>
          <w:rFonts w:ascii="Times New Roman" w:eastAsia="Calibri" w:hAnsi="Times New Roman" w:cs="Times New Roman"/>
          <w:b/>
          <w:bCs/>
        </w:rPr>
        <w:t>u području prirodnih nepogoda</w:t>
      </w:r>
      <w:r w:rsidRPr="00661C0A">
        <w:rPr>
          <w:rFonts w:ascii="Times New Roman" w:eastAsia="Calibri" w:hAnsi="Times New Roman" w:cs="Times New Roman"/>
        </w:rPr>
        <w:t xml:space="preserve"> za narednu godinu i sadržaj Plana, te da Izvršno tijelo JLP(R) samouprave podnosi Predstavničkom tijelu Izvješće o izvršenju Plana – za prošlu godinu.</w:t>
      </w:r>
    </w:p>
    <w:p w14:paraId="407AEFBD"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Temeljem navedenog i članka 14. stavka 8. Općinsko povjerenstvo za poljoprivredu i utvrđivanje šteta od elementarnih nepogoda izrađuje </w:t>
      </w:r>
      <w:r w:rsidRPr="00661C0A">
        <w:rPr>
          <w:rFonts w:ascii="Times New Roman" w:eastAsia="Calibri" w:hAnsi="Times New Roman" w:cs="Times New Roman"/>
          <w:b/>
          <w:bCs/>
        </w:rPr>
        <w:t>Plan djelovanja u području prirodnih nepogoda za područje Općine Sveti Juraj na Bregu</w:t>
      </w:r>
      <w:r w:rsidRPr="00661C0A">
        <w:rPr>
          <w:rFonts w:ascii="Times New Roman" w:eastAsia="Calibri" w:hAnsi="Times New Roman" w:cs="Times New Roman"/>
        </w:rPr>
        <w:t xml:space="preserve">. </w:t>
      </w:r>
    </w:p>
    <w:p w14:paraId="474C057E" w14:textId="77777777" w:rsidR="00E732EF" w:rsidRPr="00661C0A" w:rsidRDefault="00E732EF" w:rsidP="00E732EF">
      <w:pPr>
        <w:spacing w:after="0" w:line="240" w:lineRule="auto"/>
        <w:rPr>
          <w:rFonts w:ascii="Times New Roman" w:eastAsia="Calibri" w:hAnsi="Times New Roman" w:cs="Times New Roman"/>
        </w:rPr>
      </w:pPr>
    </w:p>
    <w:p w14:paraId="4A7B98D3" w14:textId="77777777" w:rsidR="00E732EF" w:rsidRPr="00661C0A" w:rsidRDefault="00E732EF" w:rsidP="00E732EF">
      <w:pPr>
        <w:spacing w:after="0" w:line="240" w:lineRule="auto"/>
        <w:rPr>
          <w:rFonts w:ascii="Times New Roman" w:eastAsia="Calibri" w:hAnsi="Times New Roman" w:cs="Times New Roman"/>
          <w:u w:val="single"/>
        </w:rPr>
      </w:pPr>
      <w:r w:rsidRPr="00661C0A">
        <w:rPr>
          <w:rFonts w:ascii="Times New Roman" w:eastAsia="Calibri" w:hAnsi="Times New Roman" w:cs="Times New Roman"/>
          <w:u w:val="single"/>
        </w:rPr>
        <w:t xml:space="preserve">Izvodno čl.14 Zakona: </w:t>
      </w:r>
    </w:p>
    <w:p w14:paraId="02A2BFA2"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(1) Članove i broj članova općinskog povjerenstva imenuje </w:t>
      </w:r>
      <w:r w:rsidR="00160168" w:rsidRPr="00661C0A">
        <w:rPr>
          <w:rFonts w:ascii="Times New Roman" w:eastAsia="Calibri" w:hAnsi="Times New Roman" w:cs="Times New Roman"/>
        </w:rPr>
        <w:t>O</w:t>
      </w:r>
      <w:r w:rsidRPr="00661C0A">
        <w:rPr>
          <w:rFonts w:ascii="Times New Roman" w:eastAsia="Calibri" w:hAnsi="Times New Roman" w:cs="Times New Roman"/>
        </w:rPr>
        <w:t>pćinsko vijeće na razdoblje od četiri godine i o njihovu imenovanju obavještava županijsko povjerenstvo.</w:t>
      </w:r>
    </w:p>
    <w:p w14:paraId="389E4952"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(2) </w:t>
      </w:r>
      <w:r w:rsidRPr="00661C0A">
        <w:rPr>
          <w:rFonts w:ascii="Times New Roman" w:eastAsia="Calibri" w:hAnsi="Times New Roman" w:cs="Times New Roman"/>
          <w:i/>
          <w:iCs/>
          <w:u w:val="single"/>
        </w:rPr>
        <w:t>Povjerenstva iz ovoga članka obavljaju sljedeće poslove</w:t>
      </w:r>
      <w:r w:rsidRPr="00661C0A">
        <w:rPr>
          <w:rFonts w:ascii="Times New Roman" w:eastAsia="Calibri" w:hAnsi="Times New Roman" w:cs="Times New Roman"/>
          <w:i/>
          <w:iCs/>
        </w:rPr>
        <w:t>:</w:t>
      </w:r>
    </w:p>
    <w:p w14:paraId="2B6FB3B9"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1. utvrđuju i provjeravaju visinu štete od prirodne nepogode za područje općine odnosno grada</w:t>
      </w:r>
    </w:p>
    <w:p w14:paraId="774E7E05"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2. unose podatke o prvim procjenama šteta u Registar šteta</w:t>
      </w:r>
    </w:p>
    <w:p w14:paraId="19458067"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3. unose i prosljeđuju putem Registra šteta konačne procjene šteta županijskom povjerenstvu</w:t>
      </w:r>
    </w:p>
    <w:p w14:paraId="1A5BA931" w14:textId="77777777" w:rsidR="00E732EF" w:rsidRPr="00661C0A" w:rsidRDefault="00160168"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4.</w:t>
      </w:r>
      <w:r w:rsidR="00E732EF" w:rsidRPr="00661C0A">
        <w:rPr>
          <w:rFonts w:ascii="Times New Roman" w:eastAsia="Calibri" w:hAnsi="Times New Roman" w:cs="Times New Roman"/>
        </w:rPr>
        <w:t>raspoređuju dodijeljena sredstva pomoći za ublažavanje i djelomično uklanjanje posljedica prirodnih nepogoda oštećenicima</w:t>
      </w:r>
    </w:p>
    <w:p w14:paraId="49767200"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5. prate i nadziru namjensko korištenje odobrenih sredstava pomoći za djelomičnu sanaciju šteta od prirodnih nepogoda prema ovom Zakonu</w:t>
      </w:r>
    </w:p>
    <w:p w14:paraId="6000427D"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6. izrađuju izvješća o utrošku dodijeljenih sredstava žurne pomoći i sredstava pomoći za ublažavanje i djelomično uklanjanje posljedica prirodnih nepogoda i dostavljaju ih županijskom povjerenstvu putem Registra šteta</w:t>
      </w:r>
    </w:p>
    <w:p w14:paraId="0503A31C"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7. surađuju sa županijskim povjerenstvom u provedbi ovoga Zakona</w:t>
      </w:r>
    </w:p>
    <w:p w14:paraId="779519A6"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8. donose plan djelovanja u području prirodnih nepogoda iz svoje nadležnosti</w:t>
      </w:r>
    </w:p>
    <w:p w14:paraId="2E05E327"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9. obavljaju druge poslove i aktivnosti iz svojeg djelokruga u suradnji sa županijskim povjerenstvima</w:t>
      </w:r>
    </w:p>
    <w:p w14:paraId="32E80DBC"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(3) Oblik i način dostave podataka iz stavka 2. točaka 2., 3. i 6. ovoga članka ministar financija propisao je Pravilnikom.</w:t>
      </w:r>
    </w:p>
    <w:p w14:paraId="0B63B27A"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(4) Članovi povjerenstva u svojem radu dužni su postupati savjesno i u skladu s odredbama ovoga </w:t>
      </w:r>
      <w:r w:rsidRPr="00661C0A">
        <w:rPr>
          <w:rFonts w:ascii="Times New Roman" w:eastAsia="Calibri" w:hAnsi="Times New Roman" w:cs="Times New Roman"/>
          <w:b/>
          <w:bCs/>
        </w:rPr>
        <w:t>Zakona,</w:t>
      </w:r>
      <w:r w:rsidRPr="00661C0A">
        <w:rPr>
          <w:rFonts w:ascii="Times New Roman" w:eastAsia="Calibri" w:hAnsi="Times New Roman" w:cs="Times New Roman"/>
        </w:rPr>
        <w:t xml:space="preserve"> u suprotnom, oštećenici imaju pravo tražiti nadoknadu štete od jedinice lokalne samouprave za učinjene propuste.</w:t>
      </w:r>
    </w:p>
    <w:p w14:paraId="0AC2A93F" w14:textId="77777777" w:rsidR="00E732EF" w:rsidRPr="00661C0A" w:rsidRDefault="00E732EF" w:rsidP="00E732EF">
      <w:pPr>
        <w:spacing w:after="0" w:line="240" w:lineRule="auto"/>
        <w:rPr>
          <w:rFonts w:ascii="Calibri" w:eastAsia="Calibri" w:hAnsi="Calibri" w:cs="Times New Roman"/>
        </w:rPr>
      </w:pPr>
    </w:p>
    <w:p w14:paraId="68E38ED4" w14:textId="77777777" w:rsidR="00E732EF" w:rsidRPr="00661C0A" w:rsidRDefault="00E732EF" w:rsidP="00E732EF">
      <w:pPr>
        <w:spacing w:after="0" w:line="240" w:lineRule="auto"/>
        <w:jc w:val="both"/>
        <w:rPr>
          <w:rFonts w:ascii="Times New Roman" w:eastAsia="Calibri" w:hAnsi="Times New Roman" w:cs="Times New Roman"/>
          <w:i/>
          <w:iCs/>
          <w:shd w:val="clear" w:color="auto" w:fill="FFFFFF"/>
        </w:rPr>
      </w:pPr>
      <w:r w:rsidRPr="00661C0A">
        <w:rPr>
          <w:rFonts w:ascii="Times New Roman" w:eastAsia="Calibri" w:hAnsi="Times New Roman" w:cs="Times New Roman"/>
          <w:i/>
          <w:iCs/>
          <w:shd w:val="clear" w:color="auto" w:fill="FFFFFF"/>
        </w:rPr>
        <w:t>Stručno povjerenstvo</w:t>
      </w:r>
    </w:p>
    <w:p w14:paraId="7CEB5D03" w14:textId="77777777" w:rsidR="00E732EF" w:rsidRPr="00661C0A" w:rsidRDefault="00E732EF" w:rsidP="00E732EF">
      <w:pPr>
        <w:spacing w:after="0" w:line="240" w:lineRule="auto"/>
        <w:jc w:val="both"/>
        <w:rPr>
          <w:rFonts w:ascii="Times New Roman" w:eastAsia="Calibri" w:hAnsi="Times New Roman" w:cs="Times New Roman"/>
          <w:shd w:val="clear" w:color="auto" w:fill="FFFFFF"/>
        </w:rPr>
      </w:pPr>
      <w:r w:rsidRPr="00661C0A">
        <w:rPr>
          <w:rFonts w:ascii="Times New Roman" w:eastAsia="Calibri" w:hAnsi="Times New Roman" w:cs="Times New Roman"/>
          <w:shd w:val="clear" w:color="auto" w:fill="FFFFFF"/>
        </w:rPr>
        <w:t xml:space="preserve">Ako općinsko odnosno gradsko povjerenstvo nije u mogućnosti, zbog nedostatka specifičnih stručnih znanja, procijeniti štetu od prirodnih nepogoda, može zatražiti od županijskog povjerenstva </w:t>
      </w:r>
      <w:r w:rsidRPr="00661C0A">
        <w:rPr>
          <w:rFonts w:ascii="Times New Roman" w:eastAsia="Calibri" w:hAnsi="Times New Roman" w:cs="Times New Roman"/>
          <w:u w:val="single"/>
          <w:shd w:val="clear" w:color="auto" w:fill="FFFFFF"/>
        </w:rPr>
        <w:t>imenovanje stručnog povjerenstva</w:t>
      </w:r>
      <w:r w:rsidRPr="00661C0A">
        <w:rPr>
          <w:rFonts w:ascii="Times New Roman" w:eastAsia="Calibri" w:hAnsi="Times New Roman" w:cs="Times New Roman"/>
          <w:shd w:val="clear" w:color="auto" w:fill="FFFFFF"/>
        </w:rPr>
        <w:t xml:space="preserve"> na području u kojem je proglašena prirodna nepogoda.</w:t>
      </w:r>
    </w:p>
    <w:p w14:paraId="6C5C41E9" w14:textId="77777777" w:rsidR="00E732EF" w:rsidRPr="00661C0A" w:rsidRDefault="00E732EF" w:rsidP="00E732EF">
      <w:pPr>
        <w:spacing w:after="0" w:line="240" w:lineRule="auto"/>
        <w:jc w:val="both"/>
        <w:rPr>
          <w:rFonts w:ascii="Times New Roman" w:eastAsia="Calibri" w:hAnsi="Times New Roman" w:cs="Times New Roman"/>
          <w:shd w:val="clear" w:color="auto" w:fill="FFFFFF"/>
        </w:rPr>
      </w:pPr>
      <w:r w:rsidRPr="00661C0A">
        <w:rPr>
          <w:rFonts w:ascii="Times New Roman" w:eastAsia="Calibri" w:hAnsi="Times New Roman" w:cs="Times New Roman"/>
          <w:shd w:val="clear" w:color="auto" w:fill="FFFFFF"/>
        </w:rPr>
        <w:t>Stručna povjerenstva pružaju stručnu pomoć općini odnosno gradu u roku u kojem su imenovana. U svojem radu stručna povjerenstva općine, grada i županije surađuju.</w:t>
      </w:r>
    </w:p>
    <w:p w14:paraId="2A59715F" w14:textId="77777777" w:rsidR="00E732EF" w:rsidRPr="00661C0A" w:rsidRDefault="00E732EF" w:rsidP="00E732EF">
      <w:pPr>
        <w:spacing w:after="0" w:line="240" w:lineRule="auto"/>
        <w:rPr>
          <w:rFonts w:ascii="Calibri" w:eastAsia="Calibri" w:hAnsi="Calibri" w:cs="Times New Roman"/>
        </w:rPr>
      </w:pPr>
    </w:p>
    <w:p w14:paraId="445F0860" w14:textId="77777777" w:rsidR="00E732EF" w:rsidRPr="00661C0A" w:rsidRDefault="00E732EF" w:rsidP="00E732EF">
      <w:pPr>
        <w:rPr>
          <w:rFonts w:ascii="Times New Roman" w:eastAsia="Calibri" w:hAnsi="Times New Roman" w:cs="Times New Roman"/>
          <w:b/>
          <w:bCs/>
          <w:i/>
          <w:iCs/>
        </w:rPr>
      </w:pPr>
      <w:r w:rsidRPr="00661C0A">
        <w:rPr>
          <w:rFonts w:ascii="Times New Roman" w:eastAsia="Calibri" w:hAnsi="Times New Roman" w:cs="Times New Roman"/>
          <w:b/>
          <w:bCs/>
          <w:i/>
          <w:iCs/>
        </w:rPr>
        <w:t xml:space="preserve">Plan djelovanja sastoji se: </w:t>
      </w:r>
    </w:p>
    <w:p w14:paraId="0CD133EE" w14:textId="77777777" w:rsidR="00E732EF" w:rsidRPr="00661C0A" w:rsidRDefault="00E732EF" w:rsidP="00E732EF">
      <w:pPr>
        <w:numPr>
          <w:ilvl w:val="0"/>
          <w:numId w:val="13"/>
        </w:numPr>
        <w:contextualSpacing/>
        <w:jc w:val="both"/>
        <w:rPr>
          <w:rFonts w:ascii="Times New Roman" w:eastAsia="Calibri" w:hAnsi="Times New Roman" w:cs="Times New Roman"/>
        </w:rPr>
      </w:pPr>
      <w:r w:rsidRPr="00661C0A">
        <w:rPr>
          <w:rFonts w:ascii="Times New Roman" w:eastAsia="Calibri" w:hAnsi="Times New Roman" w:cs="Times New Roman"/>
        </w:rPr>
        <w:t xml:space="preserve">popis mjera i nositelja mjera u slučaju nastajanja prirodne nepogode </w:t>
      </w:r>
    </w:p>
    <w:p w14:paraId="50C1D7E6" w14:textId="77777777" w:rsidR="00E732EF" w:rsidRPr="00661C0A" w:rsidRDefault="00E732EF" w:rsidP="00E732EF">
      <w:pPr>
        <w:numPr>
          <w:ilvl w:val="0"/>
          <w:numId w:val="13"/>
        </w:numPr>
        <w:contextualSpacing/>
        <w:jc w:val="both"/>
        <w:rPr>
          <w:rFonts w:ascii="Times New Roman" w:eastAsia="Calibri" w:hAnsi="Times New Roman" w:cs="Times New Roman"/>
        </w:rPr>
      </w:pPr>
      <w:r w:rsidRPr="00661C0A">
        <w:rPr>
          <w:rFonts w:ascii="Times New Roman" w:eastAsia="Calibri" w:hAnsi="Times New Roman" w:cs="Times New Roman"/>
        </w:rPr>
        <w:t xml:space="preserve">procjene osiguranja opreme i drugih sredstava za zaštitu i sprječavanje stradanja imovine, gospodarskih funkcija i stradanja stanovništva </w:t>
      </w:r>
    </w:p>
    <w:p w14:paraId="3784735D" w14:textId="77777777" w:rsidR="00E732EF" w:rsidRPr="00661C0A" w:rsidRDefault="00E732EF" w:rsidP="00E732EF">
      <w:pPr>
        <w:numPr>
          <w:ilvl w:val="0"/>
          <w:numId w:val="13"/>
        </w:numPr>
        <w:contextualSpacing/>
        <w:jc w:val="both"/>
        <w:rPr>
          <w:rFonts w:ascii="Times New Roman" w:eastAsia="Calibri" w:hAnsi="Times New Roman" w:cs="Times New Roman"/>
        </w:rPr>
      </w:pPr>
      <w:r w:rsidRPr="00661C0A">
        <w:rPr>
          <w:rFonts w:ascii="Times New Roman" w:eastAsia="Calibri" w:hAnsi="Times New Roman" w:cs="Times New Roman"/>
        </w:rPr>
        <w:t xml:space="preserve">sve druge mjere koje uključuju suradnju s nadležnim tijelima iz ovoga Zakona i/ili drugih tijela, znanstvenih ustanova i stručnjaka za područje prirodnih nepogoda. </w:t>
      </w:r>
    </w:p>
    <w:p w14:paraId="6F4A8455"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lastRenderedPageBreak/>
        <w:t xml:space="preserve">Dana 26. veljače 2019. godine, dopisom Ministarstva financija KLASA:422-02/19-01/27; URBROJ: 513-06-02-19-5 pojašnjena su određena tumačenja pojedinih dijelova čl. 17. Zakona, te je u stavku 7. navedeno „Bitnim je uzeti u obzir kako se u konkretnom ne ulazi u područje zaštite i spašavanja koje je određeno drugim propisima“. </w:t>
      </w:r>
    </w:p>
    <w:p w14:paraId="18C3B102" w14:textId="77777777" w:rsidR="00E732EF" w:rsidRPr="00661C0A" w:rsidRDefault="00E732EF" w:rsidP="00E732EF">
      <w:pPr>
        <w:numPr>
          <w:ilvl w:val="0"/>
          <w:numId w:val="2"/>
        </w:numPr>
        <w:contextualSpacing/>
        <w:jc w:val="both"/>
        <w:rPr>
          <w:rFonts w:ascii="Times New Roman" w:eastAsia="Calibri" w:hAnsi="Times New Roman" w:cs="Times New Roman"/>
        </w:rPr>
      </w:pPr>
      <w:r w:rsidRPr="00661C0A">
        <w:rPr>
          <w:rFonts w:ascii="Times New Roman" w:eastAsia="Calibri" w:hAnsi="Times New Roman" w:cs="Times New Roman"/>
        </w:rPr>
        <w:t>Općina Sveti Juraj na Bregu izradila je Procjenu rizika od velikih nesreća Općine i Plan djelovanja civilne zaštite Općine Sveti Juraj na Bregu, koji detaljno procjenjuju rizike i postupanja i u području prirodnih nepogoda, a ovaj je Plan u suglasju s njima.</w:t>
      </w:r>
    </w:p>
    <w:p w14:paraId="266A6495" w14:textId="77777777" w:rsidR="00E732EF" w:rsidRPr="00661C0A" w:rsidRDefault="00E732EF" w:rsidP="00E732EF">
      <w:pPr>
        <w:numPr>
          <w:ilvl w:val="0"/>
          <w:numId w:val="2"/>
        </w:numPr>
        <w:contextualSpacing/>
        <w:jc w:val="both"/>
        <w:rPr>
          <w:rFonts w:ascii="Times New Roman" w:eastAsia="Calibri" w:hAnsi="Times New Roman" w:cs="Times New Roman"/>
        </w:rPr>
      </w:pPr>
      <w:r w:rsidRPr="00661C0A">
        <w:rPr>
          <w:rFonts w:ascii="Times New Roman" w:eastAsia="Calibri" w:hAnsi="Times New Roman" w:cs="Times New Roman"/>
        </w:rPr>
        <w:t xml:space="preserve">Uz obradu požara otvorenih područja u Procjeni rizika, problematika požara je detaljno obrađena u Procjeni ugroženosti od požara i tehnoloških eksplozija Općine kao i slijednom Planu zaštite od požara, te se, također, neće </w:t>
      </w:r>
      <w:r w:rsidR="006A63D7">
        <w:rPr>
          <w:rFonts w:ascii="Times New Roman" w:eastAsia="Calibri" w:hAnsi="Times New Roman" w:cs="Times New Roman"/>
        </w:rPr>
        <w:t>dodatno razrađivati ovim Planom.</w:t>
      </w:r>
    </w:p>
    <w:p w14:paraId="5AA16D36" w14:textId="77777777" w:rsidR="00E732EF" w:rsidRPr="00661C0A" w:rsidRDefault="00E732EF" w:rsidP="00E732EF">
      <w:pPr>
        <w:ind w:left="720"/>
        <w:contextualSpacing/>
        <w:jc w:val="both"/>
        <w:rPr>
          <w:rFonts w:ascii="Times New Roman" w:eastAsia="Calibri" w:hAnsi="Times New Roman" w:cs="Times New Roman"/>
        </w:rPr>
      </w:pPr>
    </w:p>
    <w:p w14:paraId="7DE79C96" w14:textId="77777777" w:rsidR="00E732EF" w:rsidRPr="00661C0A" w:rsidRDefault="00E732EF" w:rsidP="00E732EF">
      <w:pPr>
        <w:rPr>
          <w:rFonts w:ascii="Times New Roman" w:eastAsia="Calibri" w:hAnsi="Times New Roman" w:cs="Times New Roman"/>
          <w:b/>
          <w:bCs/>
        </w:rPr>
      </w:pPr>
      <w:r w:rsidRPr="00661C0A">
        <w:rPr>
          <w:rFonts w:ascii="Times New Roman" w:eastAsia="Calibri" w:hAnsi="Times New Roman" w:cs="Times New Roman"/>
          <w:b/>
          <w:bCs/>
        </w:rPr>
        <w:t xml:space="preserve">1. MOGUĆE UGROZE NA PODRUČJU OPĆINE SVETI JURAJ NA BREGU </w:t>
      </w:r>
    </w:p>
    <w:p w14:paraId="396F1CE1"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 xml:space="preserve"> 1.1. UGROZE DEFINIRANE ZAKONOM </w:t>
      </w:r>
    </w:p>
    <w:p w14:paraId="76B3BD46"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 xml:space="preserve">Temeljem članka 3. Zakona  prirodnom nepogodom u smislu ovoga Zakona, smatraju se iznenadne okolnosti uzrokovane nepovoljnim vremenskim prilikama, seizmičkim uzrocima i drugim prirodnim uzrocima koje prekidaju normalno odvijanje života, uzrokuju žrtve, štetu na imovini i/ili njezin gubitak te štetu na javnoj infrastrukturi i/ili u okolišu. </w:t>
      </w:r>
    </w:p>
    <w:p w14:paraId="687128F4" w14:textId="77777777" w:rsidR="00E732EF" w:rsidRPr="00661C0A" w:rsidRDefault="00E732EF" w:rsidP="00E732EF">
      <w:pPr>
        <w:jc w:val="both"/>
        <w:rPr>
          <w:rFonts w:ascii="Times New Roman" w:eastAsia="Calibri" w:hAnsi="Times New Roman" w:cs="Times New Roman"/>
          <w:b/>
          <w:bCs/>
        </w:rPr>
      </w:pPr>
      <w:r w:rsidRPr="00661C0A">
        <w:rPr>
          <w:rFonts w:ascii="Times New Roman" w:eastAsia="Calibri" w:hAnsi="Times New Roman" w:cs="Times New Roman"/>
          <w:b/>
          <w:bCs/>
          <w:i/>
          <w:iCs/>
          <w:u w:val="single"/>
        </w:rPr>
        <w:t>Prirodnom nepogodom smatraju se</w:t>
      </w:r>
      <w:r w:rsidRPr="00661C0A">
        <w:rPr>
          <w:rFonts w:ascii="Times New Roman" w:eastAsia="Calibri" w:hAnsi="Times New Roman" w:cs="Times New Roman"/>
          <w:b/>
          <w:bCs/>
        </w:rPr>
        <w:t xml:space="preserve">: </w:t>
      </w:r>
    </w:p>
    <w:p w14:paraId="583D02AA" w14:textId="77777777" w:rsidR="00E732EF" w:rsidRPr="00661C0A" w:rsidRDefault="00E732EF" w:rsidP="00E732EF">
      <w:pPr>
        <w:spacing w:after="0" w:line="240" w:lineRule="auto"/>
        <w:rPr>
          <w:rFonts w:ascii="Times New Roman" w:eastAsia="Calibri" w:hAnsi="Times New Roman" w:cs="Times New Roman"/>
        </w:rPr>
      </w:pPr>
      <w:r w:rsidRPr="00661C0A">
        <w:rPr>
          <w:rFonts w:ascii="Times New Roman" w:eastAsia="Calibri" w:hAnsi="Times New Roman" w:cs="Times New Roman"/>
        </w:rPr>
        <w:t>1. potres</w:t>
      </w:r>
    </w:p>
    <w:p w14:paraId="379C0E6C" w14:textId="77777777" w:rsidR="00E732EF" w:rsidRPr="00661C0A" w:rsidRDefault="00E732EF" w:rsidP="00E732EF">
      <w:pPr>
        <w:spacing w:after="0" w:line="240" w:lineRule="auto"/>
        <w:rPr>
          <w:rFonts w:ascii="Times New Roman" w:eastAsia="Calibri" w:hAnsi="Times New Roman" w:cs="Times New Roman"/>
        </w:rPr>
      </w:pPr>
      <w:r w:rsidRPr="00661C0A">
        <w:rPr>
          <w:rFonts w:ascii="Times New Roman" w:eastAsia="Calibri" w:hAnsi="Times New Roman" w:cs="Times New Roman"/>
        </w:rPr>
        <w:t xml:space="preserve">2. olujni i orkanski vjetar </w:t>
      </w:r>
    </w:p>
    <w:p w14:paraId="78E216D4" w14:textId="77777777" w:rsidR="00E732EF" w:rsidRPr="00661C0A" w:rsidRDefault="00E732EF" w:rsidP="00E732EF">
      <w:pPr>
        <w:spacing w:after="0" w:line="240" w:lineRule="auto"/>
        <w:rPr>
          <w:rFonts w:ascii="Times New Roman" w:eastAsia="Calibri" w:hAnsi="Times New Roman" w:cs="Times New Roman"/>
        </w:rPr>
      </w:pPr>
      <w:r w:rsidRPr="00661C0A">
        <w:rPr>
          <w:rFonts w:ascii="Times New Roman" w:eastAsia="Calibri" w:hAnsi="Times New Roman" w:cs="Times New Roman"/>
        </w:rPr>
        <w:t xml:space="preserve">3. požar </w:t>
      </w:r>
    </w:p>
    <w:p w14:paraId="1492BBCE" w14:textId="77777777" w:rsidR="00E732EF" w:rsidRPr="00661C0A" w:rsidRDefault="00E732EF" w:rsidP="00E732EF">
      <w:pPr>
        <w:spacing w:after="0" w:line="240" w:lineRule="auto"/>
        <w:rPr>
          <w:rFonts w:ascii="Times New Roman" w:eastAsia="Calibri" w:hAnsi="Times New Roman" w:cs="Times New Roman"/>
        </w:rPr>
      </w:pPr>
      <w:r w:rsidRPr="00661C0A">
        <w:rPr>
          <w:rFonts w:ascii="Times New Roman" w:eastAsia="Calibri" w:hAnsi="Times New Roman" w:cs="Times New Roman"/>
        </w:rPr>
        <w:t xml:space="preserve">4. poplava </w:t>
      </w:r>
    </w:p>
    <w:p w14:paraId="5C3B79D1" w14:textId="77777777" w:rsidR="00E732EF" w:rsidRPr="00661C0A" w:rsidRDefault="00E732EF" w:rsidP="00E732EF">
      <w:pPr>
        <w:spacing w:after="0" w:line="240" w:lineRule="auto"/>
        <w:rPr>
          <w:rFonts w:ascii="Times New Roman" w:eastAsia="Calibri" w:hAnsi="Times New Roman" w:cs="Times New Roman"/>
        </w:rPr>
      </w:pPr>
      <w:r w:rsidRPr="00661C0A">
        <w:rPr>
          <w:rFonts w:ascii="Times New Roman" w:eastAsia="Calibri" w:hAnsi="Times New Roman" w:cs="Times New Roman"/>
        </w:rPr>
        <w:t xml:space="preserve">5. suša </w:t>
      </w:r>
    </w:p>
    <w:p w14:paraId="70BD38AA" w14:textId="77777777" w:rsidR="00E732EF" w:rsidRPr="00661C0A" w:rsidRDefault="00E732EF" w:rsidP="00E732EF">
      <w:pPr>
        <w:spacing w:after="0" w:line="240" w:lineRule="auto"/>
        <w:rPr>
          <w:rFonts w:ascii="Times New Roman" w:eastAsia="Calibri" w:hAnsi="Times New Roman" w:cs="Times New Roman"/>
        </w:rPr>
      </w:pPr>
      <w:r w:rsidRPr="00661C0A">
        <w:rPr>
          <w:rFonts w:ascii="Times New Roman" w:eastAsia="Calibri" w:hAnsi="Times New Roman" w:cs="Times New Roman"/>
        </w:rPr>
        <w:t xml:space="preserve">6. tuča, kiša koja se smrzava u dodiru s podlogom </w:t>
      </w:r>
    </w:p>
    <w:p w14:paraId="2633C79F" w14:textId="77777777" w:rsidR="00E732EF" w:rsidRPr="00661C0A" w:rsidRDefault="00E732EF" w:rsidP="00E732EF">
      <w:pPr>
        <w:spacing w:after="0" w:line="240" w:lineRule="auto"/>
        <w:rPr>
          <w:rFonts w:ascii="Times New Roman" w:eastAsia="Calibri" w:hAnsi="Times New Roman" w:cs="Times New Roman"/>
        </w:rPr>
      </w:pPr>
      <w:r w:rsidRPr="00661C0A">
        <w:rPr>
          <w:rFonts w:ascii="Times New Roman" w:eastAsia="Calibri" w:hAnsi="Times New Roman" w:cs="Times New Roman"/>
        </w:rPr>
        <w:t xml:space="preserve">7. mraz </w:t>
      </w:r>
    </w:p>
    <w:p w14:paraId="2B7DEDF6" w14:textId="77777777" w:rsidR="00E732EF" w:rsidRPr="00661C0A" w:rsidRDefault="00E732EF" w:rsidP="00E732EF">
      <w:pPr>
        <w:spacing w:after="0" w:line="240" w:lineRule="auto"/>
        <w:rPr>
          <w:rFonts w:ascii="Times New Roman" w:eastAsia="Calibri" w:hAnsi="Times New Roman" w:cs="Times New Roman"/>
        </w:rPr>
      </w:pPr>
      <w:r w:rsidRPr="00661C0A">
        <w:rPr>
          <w:rFonts w:ascii="Times New Roman" w:eastAsia="Calibri" w:hAnsi="Times New Roman" w:cs="Times New Roman"/>
        </w:rPr>
        <w:t xml:space="preserve">8. izvanredno velika visina snijega </w:t>
      </w:r>
    </w:p>
    <w:p w14:paraId="191ECFFC" w14:textId="77777777" w:rsidR="00E732EF" w:rsidRPr="00661C0A" w:rsidRDefault="00E732EF" w:rsidP="00E732EF">
      <w:pPr>
        <w:spacing w:after="0" w:line="240" w:lineRule="auto"/>
        <w:rPr>
          <w:rFonts w:ascii="Times New Roman" w:eastAsia="Calibri" w:hAnsi="Times New Roman" w:cs="Times New Roman"/>
        </w:rPr>
      </w:pPr>
      <w:r w:rsidRPr="00661C0A">
        <w:rPr>
          <w:rFonts w:ascii="Times New Roman" w:eastAsia="Calibri" w:hAnsi="Times New Roman" w:cs="Times New Roman"/>
        </w:rPr>
        <w:t xml:space="preserve">9. snježni nanos i lavina </w:t>
      </w:r>
    </w:p>
    <w:p w14:paraId="4E1DB350" w14:textId="77777777" w:rsidR="00E732EF" w:rsidRPr="00661C0A" w:rsidRDefault="00E732EF" w:rsidP="00E732EF">
      <w:pPr>
        <w:spacing w:after="0" w:line="240" w:lineRule="auto"/>
        <w:rPr>
          <w:rFonts w:ascii="Times New Roman" w:eastAsia="Calibri" w:hAnsi="Times New Roman" w:cs="Times New Roman"/>
        </w:rPr>
      </w:pPr>
      <w:r w:rsidRPr="00661C0A">
        <w:rPr>
          <w:rFonts w:ascii="Times New Roman" w:eastAsia="Calibri" w:hAnsi="Times New Roman" w:cs="Times New Roman"/>
        </w:rPr>
        <w:t xml:space="preserve">10. nagomilavanje leda na vodotocima </w:t>
      </w:r>
    </w:p>
    <w:p w14:paraId="6474E9D0" w14:textId="77777777" w:rsidR="00E732EF" w:rsidRPr="00661C0A" w:rsidRDefault="00E732EF" w:rsidP="00E732EF">
      <w:pPr>
        <w:spacing w:after="0" w:line="240" w:lineRule="auto"/>
        <w:rPr>
          <w:rFonts w:ascii="Times New Roman" w:eastAsia="Calibri" w:hAnsi="Times New Roman" w:cs="Times New Roman"/>
        </w:rPr>
      </w:pPr>
      <w:r w:rsidRPr="00661C0A">
        <w:rPr>
          <w:rFonts w:ascii="Times New Roman" w:eastAsia="Calibri" w:hAnsi="Times New Roman" w:cs="Times New Roman"/>
        </w:rPr>
        <w:t xml:space="preserve">11. klizanje, tečenje, odronjavanje i prevrtanje zemljišta </w:t>
      </w:r>
    </w:p>
    <w:p w14:paraId="743AC406" w14:textId="77777777" w:rsidR="00E732EF" w:rsidRPr="00661C0A" w:rsidRDefault="00E732EF" w:rsidP="00E732EF">
      <w:pPr>
        <w:spacing w:after="0" w:line="240" w:lineRule="auto"/>
        <w:rPr>
          <w:rFonts w:ascii="Times New Roman" w:eastAsia="Calibri" w:hAnsi="Times New Roman" w:cs="Times New Roman"/>
        </w:rPr>
      </w:pPr>
      <w:r w:rsidRPr="00661C0A">
        <w:rPr>
          <w:rFonts w:ascii="Times New Roman" w:eastAsia="Calibri" w:hAnsi="Times New Roman" w:cs="Times New Roman"/>
        </w:rPr>
        <w:t xml:space="preserve">12. druge pojave takva opsega koje, ovisno o mjesnim prilikama, uzrokuju bitne poremećaje u životu ljudi na određenom području. </w:t>
      </w:r>
    </w:p>
    <w:p w14:paraId="0D7F16DD" w14:textId="77777777" w:rsidR="00E732EF" w:rsidRPr="00661C0A" w:rsidRDefault="00E732EF" w:rsidP="00E732EF">
      <w:pPr>
        <w:spacing w:after="0" w:line="240" w:lineRule="auto"/>
        <w:rPr>
          <w:rFonts w:ascii="Calibri" w:eastAsia="Calibri" w:hAnsi="Calibri" w:cs="Arial"/>
        </w:rPr>
      </w:pPr>
    </w:p>
    <w:p w14:paraId="5F9CD95A" w14:textId="77777777" w:rsidR="00E732EF" w:rsidRPr="00661C0A" w:rsidRDefault="00E732EF" w:rsidP="00E732EF">
      <w:pPr>
        <w:spacing w:after="0"/>
        <w:jc w:val="both"/>
        <w:rPr>
          <w:rFonts w:ascii="Times New Roman" w:eastAsia="Calibri" w:hAnsi="Times New Roman" w:cs="Times New Roman"/>
        </w:rPr>
      </w:pPr>
      <w:r w:rsidRPr="00661C0A">
        <w:rPr>
          <w:rFonts w:ascii="Times New Roman" w:eastAsia="Calibri" w:hAnsi="Times New Roman" w:cs="Times New Roman"/>
        </w:rPr>
        <w:t xml:space="preserve">U smislu ovoga Zakona, štetama od prirodnih nepogoda </w:t>
      </w:r>
      <w:r w:rsidRPr="00661C0A">
        <w:rPr>
          <w:rFonts w:ascii="Times New Roman" w:eastAsia="Calibri" w:hAnsi="Times New Roman" w:cs="Times New Roman"/>
          <w:b/>
          <w:bCs/>
          <w:u w:val="single"/>
        </w:rPr>
        <w:t>ne smatraju se</w:t>
      </w:r>
      <w:r w:rsidRPr="00661C0A">
        <w:rPr>
          <w:rFonts w:ascii="Times New Roman" w:eastAsia="Calibri" w:hAnsi="Times New Roman" w:cs="Times New Roman"/>
        </w:rPr>
        <w:t xml:space="preserve"> one štete koje su namjerno izazvane na vlastitoj imovini te štete koje su nastale zbog nemara i/ili zbog nepoduzimanja propisanih mjera zaštite. </w:t>
      </w:r>
    </w:p>
    <w:p w14:paraId="1F4B2CF6" w14:textId="77777777" w:rsidR="00E732EF" w:rsidRPr="00661C0A" w:rsidRDefault="00E732EF" w:rsidP="00E732EF">
      <w:pPr>
        <w:shd w:val="clear" w:color="auto" w:fill="FFFFFF"/>
        <w:jc w:val="both"/>
        <w:rPr>
          <w:rFonts w:ascii="Times New Roman" w:eastAsia="Calibri" w:hAnsi="Times New Roman" w:cs="Times New Roman"/>
        </w:rPr>
      </w:pPr>
      <w:r w:rsidRPr="00661C0A">
        <w:rPr>
          <w:rFonts w:ascii="Times New Roman" w:eastAsia="Calibri" w:hAnsi="Times New Roman" w:cs="Times New Roman"/>
          <w:u w:val="single"/>
          <w:shd w:val="clear" w:color="auto" w:fill="DBE5F1"/>
        </w:rPr>
        <w:t>Prirodna nepogoda može se proglasiti</w:t>
      </w:r>
      <w:r w:rsidRPr="00661C0A">
        <w:rPr>
          <w:rFonts w:ascii="Times New Roman" w:eastAsia="Calibri" w:hAnsi="Times New Roman" w:cs="Times New Roman"/>
          <w:shd w:val="clear" w:color="auto" w:fill="DBE5F1"/>
        </w:rPr>
        <w:t xml:space="preserve"> ako je vrijednost ukupne izravne štete najmanje 20% vrijednosti izvornih prihoda jedinice lokalne samouprave za prethodnu godinu ili ako je prirod (rod) umanjen najmanje 30% prethodnog trogodišnjeg prosjeka na području jedinice lokalne samouprave ili ako je nepogoda umanjila vrijednost imovine na području jedinice lokalne samouprave najmanje 30%. </w:t>
      </w:r>
      <w:r w:rsidRPr="00661C0A">
        <w:rPr>
          <w:rFonts w:ascii="Times New Roman" w:eastAsia="Calibri" w:hAnsi="Times New Roman" w:cs="Times New Roman"/>
        </w:rPr>
        <w:t xml:space="preserve"> </w:t>
      </w:r>
    </w:p>
    <w:p w14:paraId="220895FD" w14:textId="63018E91" w:rsidR="00E732EF" w:rsidRPr="008F7AB5" w:rsidRDefault="00E732EF" w:rsidP="00E732EF">
      <w:pPr>
        <w:rPr>
          <w:rFonts w:ascii="Times New Roman" w:eastAsia="Calibri" w:hAnsi="Times New Roman" w:cs="Times New Roman"/>
        </w:rPr>
      </w:pPr>
      <w:r w:rsidRPr="008F7AB5">
        <w:rPr>
          <w:rFonts w:ascii="Times New Roman" w:eastAsia="Calibri" w:hAnsi="Times New Roman" w:cs="Times New Roman"/>
        </w:rPr>
        <w:t xml:space="preserve"> Ispunjenje uvjeta iz gornjeg stavka utvrđuje </w:t>
      </w:r>
      <w:r w:rsidR="00E67D47" w:rsidRPr="00661C0A">
        <w:rPr>
          <w:rFonts w:ascii="Times New Roman" w:eastAsia="Calibri" w:hAnsi="Times New Roman" w:cs="Times New Roman"/>
          <w:b/>
          <w:bCs/>
        </w:rPr>
        <w:t>Općinsko povjerenstvo Općine Sveti Juraj na Bregu</w:t>
      </w:r>
      <w:r w:rsidRPr="008F7AB5">
        <w:rPr>
          <w:rFonts w:ascii="Times New Roman" w:eastAsia="Calibri" w:hAnsi="Times New Roman" w:cs="Times New Roman"/>
          <w:b/>
          <w:bCs/>
        </w:rPr>
        <w:t>.</w:t>
      </w:r>
      <w:r w:rsidRPr="008F7AB5">
        <w:rPr>
          <w:rFonts w:ascii="Times New Roman" w:eastAsia="Calibri" w:hAnsi="Times New Roman" w:cs="Times New Roman"/>
        </w:rPr>
        <w:t xml:space="preserve"> </w:t>
      </w:r>
    </w:p>
    <w:p w14:paraId="3E6EBC5D" w14:textId="77777777" w:rsidR="008C6040" w:rsidRDefault="008C6040" w:rsidP="00E732EF">
      <w:pPr>
        <w:rPr>
          <w:rFonts w:ascii="Times New Roman" w:eastAsia="Calibri" w:hAnsi="Times New Roman" w:cs="Times New Roman"/>
        </w:rPr>
      </w:pPr>
    </w:p>
    <w:p w14:paraId="393D1121" w14:textId="77777777" w:rsidR="006A63D7" w:rsidRDefault="006A63D7" w:rsidP="00E732EF">
      <w:pPr>
        <w:rPr>
          <w:rFonts w:ascii="Times New Roman" w:eastAsia="Calibri" w:hAnsi="Times New Roman" w:cs="Times New Roman"/>
        </w:rPr>
      </w:pPr>
    </w:p>
    <w:p w14:paraId="76C6F48E" w14:textId="77777777" w:rsidR="006A63D7" w:rsidRPr="00661C0A" w:rsidRDefault="006A63D7" w:rsidP="00E732EF">
      <w:pPr>
        <w:rPr>
          <w:rFonts w:ascii="Times New Roman" w:eastAsia="Calibri" w:hAnsi="Times New Roman" w:cs="Times New Roman"/>
        </w:rPr>
      </w:pPr>
    </w:p>
    <w:p w14:paraId="49A0D60F" w14:textId="77777777" w:rsidR="00E732EF" w:rsidRPr="00661C0A" w:rsidRDefault="00E732EF" w:rsidP="00E732EF">
      <w:pPr>
        <w:rPr>
          <w:rFonts w:ascii="Times New Roman" w:eastAsia="Calibri" w:hAnsi="Times New Roman" w:cs="Times New Roman"/>
        </w:rPr>
      </w:pPr>
      <w:r w:rsidRPr="00661C0A">
        <w:rPr>
          <w:rFonts w:ascii="Times New Roman" w:eastAsia="Calibri" w:hAnsi="Times New Roman" w:cs="Times New Roman"/>
        </w:rPr>
        <w:lastRenderedPageBreak/>
        <w:t xml:space="preserve"> 1.2. UGROZE ZABILJEŽENE NA PODRUČJU OPĆINE </w:t>
      </w:r>
    </w:p>
    <w:p w14:paraId="3A40DBA2" w14:textId="7A8AC21D" w:rsidR="00E732EF" w:rsidRPr="00247BFB" w:rsidRDefault="00E732EF" w:rsidP="00235E05">
      <w:pPr>
        <w:jc w:val="both"/>
        <w:rPr>
          <w:rFonts w:ascii="Times New Roman" w:eastAsia="Calibri" w:hAnsi="Times New Roman" w:cs="Times New Roman"/>
        </w:rPr>
      </w:pPr>
      <w:r w:rsidRPr="00247BFB">
        <w:rPr>
          <w:rFonts w:ascii="Times New Roman" w:eastAsia="Calibri" w:hAnsi="Times New Roman" w:cs="Times New Roman"/>
        </w:rPr>
        <w:t>Temeljem ranije Procjene ugroženosti od katastrofa i velikih nesreća za područje Općine kao i Procjene rizika od velikih nesreća za</w:t>
      </w:r>
      <w:r w:rsidR="008C6040" w:rsidRPr="00247BFB">
        <w:rPr>
          <w:rFonts w:ascii="Times New Roman" w:eastAsia="Calibri" w:hAnsi="Times New Roman" w:cs="Times New Roman"/>
        </w:rPr>
        <w:t xml:space="preserve"> područje Općine (2017.godine, </w:t>
      </w:r>
      <w:r w:rsidRPr="00247BFB">
        <w:rPr>
          <w:rFonts w:ascii="Times New Roman" w:eastAsia="Calibri" w:hAnsi="Times New Roman" w:cs="Times New Roman"/>
        </w:rPr>
        <w:t>revizija 9/2020</w:t>
      </w:r>
      <w:r w:rsidR="008C6040" w:rsidRPr="00247BFB">
        <w:rPr>
          <w:rFonts w:ascii="Times New Roman" w:eastAsia="Calibri" w:hAnsi="Times New Roman" w:cs="Times New Roman"/>
        </w:rPr>
        <w:t xml:space="preserve">. </w:t>
      </w:r>
      <w:r w:rsidR="00F23D02" w:rsidRPr="00247BFB">
        <w:rPr>
          <w:rFonts w:ascii="Times New Roman" w:eastAsia="Calibri" w:hAnsi="Times New Roman" w:cs="Times New Roman"/>
        </w:rPr>
        <w:t>i ažu</w:t>
      </w:r>
      <w:r w:rsidR="008C6040" w:rsidRPr="00247BFB">
        <w:rPr>
          <w:rFonts w:ascii="Times New Roman" w:eastAsia="Calibri" w:hAnsi="Times New Roman" w:cs="Times New Roman"/>
        </w:rPr>
        <w:t>riranja od listopada 2021. godine</w:t>
      </w:r>
      <w:r w:rsidR="007B58B6" w:rsidRPr="00247BFB">
        <w:rPr>
          <w:rFonts w:ascii="Times New Roman" w:eastAsia="Calibri" w:hAnsi="Times New Roman" w:cs="Times New Roman"/>
        </w:rPr>
        <w:t xml:space="preserve"> i 17. svibnja 2022. godine</w:t>
      </w:r>
      <w:r w:rsidR="00247BFB" w:rsidRPr="00247BFB">
        <w:rPr>
          <w:rFonts w:ascii="Times New Roman" w:eastAsia="Calibri" w:hAnsi="Times New Roman" w:cs="Times New Roman"/>
        </w:rPr>
        <w:t xml:space="preserve"> te Revizija II-2023 od 06. lipnja 2023. godine</w:t>
      </w:r>
      <w:r w:rsidRPr="00247BFB">
        <w:rPr>
          <w:rFonts w:ascii="Times New Roman" w:eastAsia="Calibri" w:hAnsi="Times New Roman" w:cs="Times New Roman"/>
        </w:rPr>
        <w:t>), na području Općine Sveti Juraj na Bregu proglašavanje</w:t>
      </w:r>
      <w:r w:rsidRPr="00247BFB">
        <w:rPr>
          <w:rFonts w:ascii="Times New Roman" w:eastAsia="Calibri" w:hAnsi="Times New Roman" w:cs="Times New Roman"/>
          <w:b/>
          <w:bCs/>
        </w:rPr>
        <w:t xml:space="preserve"> </w:t>
      </w:r>
      <w:r w:rsidRPr="00247BFB">
        <w:rPr>
          <w:rFonts w:ascii="Times New Roman" w:eastAsia="Calibri" w:hAnsi="Times New Roman" w:cs="Times New Roman"/>
          <w:b/>
          <w:bCs/>
          <w:u w:val="single"/>
        </w:rPr>
        <w:t>stanja elementarnih nepogoda</w:t>
      </w:r>
      <w:r w:rsidRPr="00247BFB">
        <w:rPr>
          <w:rFonts w:ascii="Times New Roman" w:eastAsia="Calibri" w:hAnsi="Times New Roman" w:cs="Times New Roman"/>
          <w:b/>
          <w:bCs/>
        </w:rPr>
        <w:t xml:space="preserve"> </w:t>
      </w:r>
      <w:r w:rsidRPr="00247BFB">
        <w:rPr>
          <w:rFonts w:ascii="Times New Roman" w:eastAsia="Calibri" w:hAnsi="Times New Roman" w:cs="Times New Roman"/>
        </w:rPr>
        <w:t>u proteklih 15 godina</w:t>
      </w:r>
      <w:r w:rsidRPr="00247BFB">
        <w:rPr>
          <w:rFonts w:ascii="Times New Roman" w:eastAsia="Calibri" w:hAnsi="Times New Roman" w:cs="Times New Roman"/>
          <w:b/>
          <w:bCs/>
        </w:rPr>
        <w:t xml:space="preserve"> </w:t>
      </w:r>
      <w:r w:rsidR="00235E05" w:rsidRPr="00247BFB">
        <w:rPr>
          <w:rFonts w:ascii="Times New Roman" w:eastAsia="Calibri" w:hAnsi="Times New Roman" w:cs="Times New Roman"/>
        </w:rPr>
        <w:t>bilo je:</w:t>
      </w:r>
    </w:p>
    <w:p w14:paraId="7FD935A1" w14:textId="77777777" w:rsidR="00E732EF" w:rsidRPr="00661C0A" w:rsidRDefault="00E732EF" w:rsidP="00E732EF">
      <w:pPr>
        <w:numPr>
          <w:ilvl w:val="0"/>
          <w:numId w:val="40"/>
        </w:numPr>
        <w:spacing w:after="0" w:line="240" w:lineRule="auto"/>
        <w:rPr>
          <w:rFonts w:ascii="Times New Roman" w:eastAsia="Calibri" w:hAnsi="Times New Roman" w:cs="Arial"/>
          <w:noProof/>
        </w:rPr>
      </w:pPr>
      <w:r w:rsidRPr="00661C0A">
        <w:rPr>
          <w:rFonts w:ascii="Times New Roman" w:eastAsia="Calibri" w:hAnsi="Times New Roman" w:cs="Arial"/>
          <w:noProof/>
        </w:rPr>
        <w:t>2012.godina (travanj)- MRAZ i kolovoz-SUŠA, nije vršeno utvrđivanje štete</w:t>
      </w:r>
    </w:p>
    <w:p w14:paraId="4AEB6BCE" w14:textId="77777777" w:rsidR="00E732EF" w:rsidRPr="00661C0A" w:rsidRDefault="00E732EF" w:rsidP="00E732EF">
      <w:pPr>
        <w:numPr>
          <w:ilvl w:val="0"/>
          <w:numId w:val="40"/>
        </w:numPr>
        <w:spacing w:after="0" w:line="240" w:lineRule="auto"/>
        <w:rPr>
          <w:rFonts w:ascii="Times New Roman" w:eastAsia="Calibri" w:hAnsi="Times New Roman" w:cs="Arial"/>
          <w:noProof/>
        </w:rPr>
      </w:pPr>
      <w:r w:rsidRPr="00661C0A">
        <w:rPr>
          <w:rFonts w:ascii="Times New Roman" w:eastAsia="Calibri" w:hAnsi="Times New Roman" w:cs="Arial"/>
          <w:noProof/>
        </w:rPr>
        <w:t>2013.godina ( travanj- KLIZIŠTA TLA, sa utvrđenom visinom šteta od 2,1 mil.kuna</w:t>
      </w:r>
    </w:p>
    <w:p w14:paraId="4493A3AA" w14:textId="77777777" w:rsidR="00E732EF" w:rsidRPr="00661C0A" w:rsidRDefault="00E732EF" w:rsidP="00E732EF">
      <w:pPr>
        <w:numPr>
          <w:ilvl w:val="0"/>
          <w:numId w:val="40"/>
        </w:numPr>
        <w:spacing w:after="0" w:line="240" w:lineRule="auto"/>
        <w:rPr>
          <w:rFonts w:ascii="Times New Roman" w:eastAsia="Calibri" w:hAnsi="Times New Roman" w:cs="Arial"/>
          <w:noProof/>
        </w:rPr>
      </w:pPr>
      <w:r w:rsidRPr="00661C0A">
        <w:rPr>
          <w:rFonts w:ascii="Times New Roman" w:eastAsia="Calibri" w:hAnsi="Times New Roman" w:cs="Arial"/>
          <w:noProof/>
        </w:rPr>
        <w:t>2014.godina KLIZIŠTA TLA, sa utvrđenom visinom šteta od 2,6 mil.kuna</w:t>
      </w:r>
    </w:p>
    <w:p w14:paraId="6EFA84D3" w14:textId="77777777" w:rsidR="00E732EF" w:rsidRPr="00661C0A" w:rsidRDefault="00E732EF" w:rsidP="00E732EF">
      <w:pPr>
        <w:numPr>
          <w:ilvl w:val="0"/>
          <w:numId w:val="40"/>
        </w:numPr>
        <w:spacing w:after="0" w:line="240" w:lineRule="auto"/>
        <w:rPr>
          <w:rFonts w:ascii="Times New Roman" w:eastAsia="Calibri" w:hAnsi="Times New Roman" w:cs="Arial"/>
          <w:noProof/>
        </w:rPr>
      </w:pPr>
      <w:r w:rsidRPr="00661C0A">
        <w:rPr>
          <w:rFonts w:ascii="Times New Roman" w:eastAsia="Calibri" w:hAnsi="Times New Roman" w:cs="Arial"/>
          <w:noProof/>
        </w:rPr>
        <w:t>2015.godina KLIZIŠTA TLA (groblje) sa utvrđenom visinom šteta od 500 tisuća kuna</w:t>
      </w:r>
    </w:p>
    <w:p w14:paraId="1BC68B37" w14:textId="77777777" w:rsidR="00E732EF" w:rsidRPr="00661C0A" w:rsidRDefault="00E732EF" w:rsidP="00E732EF">
      <w:pPr>
        <w:numPr>
          <w:ilvl w:val="0"/>
          <w:numId w:val="40"/>
        </w:numPr>
        <w:spacing w:after="0" w:line="240" w:lineRule="auto"/>
        <w:rPr>
          <w:rFonts w:ascii="Times New Roman" w:eastAsia="Calibri" w:hAnsi="Times New Roman" w:cs="Arial"/>
          <w:noProof/>
        </w:rPr>
      </w:pPr>
      <w:r w:rsidRPr="00661C0A">
        <w:rPr>
          <w:rFonts w:ascii="Times New Roman" w:eastAsia="Calibri" w:hAnsi="Times New Roman" w:cs="Arial"/>
          <w:noProof/>
        </w:rPr>
        <w:t>2016.godine (travanj) MRAZ sa utvrđenom visinom šteta od 4 mil.kuna</w:t>
      </w:r>
    </w:p>
    <w:p w14:paraId="2AD77A80" w14:textId="77777777" w:rsidR="00E732EF" w:rsidRPr="00661C0A" w:rsidRDefault="00E732EF" w:rsidP="00F23D02">
      <w:pPr>
        <w:numPr>
          <w:ilvl w:val="0"/>
          <w:numId w:val="40"/>
        </w:numPr>
        <w:spacing w:after="0"/>
        <w:jc w:val="both"/>
        <w:rPr>
          <w:rFonts w:ascii="Times New Roman" w:eastAsia="Calibri" w:hAnsi="Times New Roman" w:cs="Times New Roman"/>
        </w:rPr>
      </w:pPr>
      <w:r w:rsidRPr="00661C0A">
        <w:rPr>
          <w:rFonts w:ascii="Times New Roman" w:eastAsia="Calibri" w:hAnsi="Times New Roman" w:cs="Arial"/>
          <w:noProof/>
        </w:rPr>
        <w:t>2020.godine (ožujak) MRAZ sa utvrđenom visinom šteta od 1,6 mil.kuna</w:t>
      </w:r>
    </w:p>
    <w:p w14:paraId="278338D9" w14:textId="77777777" w:rsidR="00F23D02" w:rsidRPr="006A63D7" w:rsidRDefault="00F23D02" w:rsidP="006A63D7">
      <w:pPr>
        <w:numPr>
          <w:ilvl w:val="0"/>
          <w:numId w:val="40"/>
        </w:numPr>
        <w:spacing w:after="0"/>
        <w:jc w:val="both"/>
        <w:rPr>
          <w:rFonts w:ascii="Times New Roman" w:eastAsia="Calibri" w:hAnsi="Times New Roman" w:cs="Times New Roman"/>
        </w:rPr>
      </w:pPr>
      <w:r w:rsidRPr="00661C0A">
        <w:rPr>
          <w:rFonts w:ascii="Times New Roman" w:eastAsia="Calibri" w:hAnsi="Times New Roman" w:cs="Arial"/>
          <w:noProof/>
        </w:rPr>
        <w:t>2021. godine (travanj) MRAZ sa utvrđenom visinom šteta od 1,6 mil.kuna</w:t>
      </w:r>
    </w:p>
    <w:p w14:paraId="7028A715" w14:textId="77777777" w:rsidR="006A63D7" w:rsidRPr="00485646" w:rsidRDefault="006A63D7" w:rsidP="00485646">
      <w:pPr>
        <w:numPr>
          <w:ilvl w:val="0"/>
          <w:numId w:val="40"/>
        </w:numPr>
        <w:spacing w:after="0" w:line="240" w:lineRule="auto"/>
        <w:jc w:val="both"/>
        <w:rPr>
          <w:rFonts w:ascii="Times New Roman" w:eastAsia="Calibri" w:hAnsi="Times New Roman" w:cs="Times New Roman"/>
        </w:rPr>
      </w:pPr>
      <w:r w:rsidRPr="00395D35">
        <w:rPr>
          <w:rFonts w:ascii="Times New Roman" w:eastAsia="Calibri" w:hAnsi="Times New Roman" w:cs="Arial"/>
          <w:noProof/>
        </w:rPr>
        <w:t>2022. godine</w:t>
      </w:r>
      <w:r w:rsidR="007B58B6" w:rsidRPr="00395D35">
        <w:rPr>
          <w:rFonts w:ascii="Times New Roman" w:eastAsia="Calibri" w:hAnsi="Times New Roman" w:cs="Arial"/>
          <w:noProof/>
        </w:rPr>
        <w:t xml:space="preserve"> (kolovoz) </w:t>
      </w:r>
      <w:r w:rsidR="00395D35" w:rsidRPr="00395D35">
        <w:rPr>
          <w:rFonts w:ascii="Times New Roman" w:eastAsia="Calibri" w:hAnsi="Times New Roman" w:cs="Arial"/>
          <w:noProof/>
        </w:rPr>
        <w:t>SUŠA  sa utvrđ</w:t>
      </w:r>
      <w:r w:rsidR="00EC6651">
        <w:rPr>
          <w:rFonts w:ascii="Times New Roman" w:eastAsia="Calibri" w:hAnsi="Times New Roman" w:cs="Arial"/>
          <w:noProof/>
        </w:rPr>
        <w:t>enom visinom šteta od 2,0 mil</w:t>
      </w:r>
      <w:r w:rsidR="00395D35">
        <w:rPr>
          <w:rFonts w:ascii="Times New Roman" w:eastAsia="Calibri" w:hAnsi="Times New Roman" w:cs="Arial"/>
          <w:noProof/>
        </w:rPr>
        <w:t>.</w:t>
      </w:r>
      <w:r w:rsidR="00395D35" w:rsidRPr="00395D35">
        <w:rPr>
          <w:rFonts w:ascii="Times New Roman" w:eastAsia="Calibri" w:hAnsi="Times New Roman" w:cs="Arial"/>
          <w:noProof/>
        </w:rPr>
        <w:t>kuna</w:t>
      </w:r>
    </w:p>
    <w:p w14:paraId="629ED10E" w14:textId="77777777" w:rsidR="00485646" w:rsidRPr="00395D35" w:rsidRDefault="00485646" w:rsidP="00E732EF">
      <w:pPr>
        <w:numPr>
          <w:ilvl w:val="0"/>
          <w:numId w:val="40"/>
        </w:numPr>
        <w:jc w:val="both"/>
        <w:rPr>
          <w:rFonts w:ascii="Times New Roman" w:eastAsia="Calibri" w:hAnsi="Times New Roman" w:cs="Times New Roman"/>
        </w:rPr>
      </w:pPr>
      <w:r>
        <w:rPr>
          <w:rFonts w:ascii="Times New Roman" w:eastAsia="Calibri" w:hAnsi="Times New Roman" w:cs="Arial"/>
          <w:noProof/>
        </w:rPr>
        <w:t>2023. godine (svibanj) POPLAVE sa utvrđenom visinom šteta od 100.000,00 EUR</w:t>
      </w:r>
    </w:p>
    <w:p w14:paraId="01C6ECD1" w14:textId="1E3EE81F" w:rsidR="00E732EF" w:rsidRPr="00247BFB" w:rsidRDefault="00E732EF" w:rsidP="00E732EF">
      <w:pPr>
        <w:jc w:val="both"/>
        <w:rPr>
          <w:rFonts w:ascii="Times New Roman" w:eastAsia="Calibri" w:hAnsi="Times New Roman" w:cs="Times New Roman"/>
        </w:rPr>
      </w:pPr>
      <w:r w:rsidRPr="00247BFB">
        <w:rPr>
          <w:rFonts w:ascii="Times New Roman" w:eastAsia="Calibri" w:hAnsi="Times New Roman" w:cs="Times New Roman"/>
        </w:rPr>
        <w:t>Važećom Procjenom rizik</w:t>
      </w:r>
      <w:r w:rsidR="006A63D7" w:rsidRPr="00247BFB">
        <w:rPr>
          <w:rFonts w:ascii="Times New Roman" w:eastAsia="Calibri" w:hAnsi="Times New Roman" w:cs="Times New Roman"/>
        </w:rPr>
        <w:t>a od velikih nesreća Općine (</w:t>
      </w:r>
      <w:r w:rsidRPr="00247BFB">
        <w:rPr>
          <w:rFonts w:ascii="Times New Roman" w:eastAsia="Calibri" w:hAnsi="Times New Roman" w:cs="Times New Roman"/>
        </w:rPr>
        <w:t>2017.</w:t>
      </w:r>
      <w:r w:rsidR="00395D35" w:rsidRPr="00247BFB">
        <w:rPr>
          <w:rFonts w:ascii="Times New Roman" w:eastAsia="Calibri" w:hAnsi="Times New Roman" w:cs="Times New Roman"/>
        </w:rPr>
        <w:t xml:space="preserve"> </w:t>
      </w:r>
      <w:r w:rsidRPr="00247BFB">
        <w:rPr>
          <w:rFonts w:ascii="Times New Roman" w:eastAsia="Calibri" w:hAnsi="Times New Roman" w:cs="Times New Roman"/>
        </w:rPr>
        <w:t>godine i Revizija I. 2020.godine</w:t>
      </w:r>
      <w:r w:rsidR="00F23D02" w:rsidRPr="00247BFB">
        <w:rPr>
          <w:rFonts w:ascii="Times New Roman" w:eastAsia="Calibri" w:hAnsi="Times New Roman" w:cs="Times New Roman"/>
        </w:rPr>
        <w:t xml:space="preserve"> i ažuriranja</w:t>
      </w:r>
      <w:r w:rsidR="00395D35" w:rsidRPr="00247BFB">
        <w:rPr>
          <w:rFonts w:ascii="Times New Roman" w:eastAsia="Calibri" w:hAnsi="Times New Roman" w:cs="Times New Roman"/>
        </w:rPr>
        <w:t xml:space="preserve"> od 21. listop</w:t>
      </w:r>
      <w:r w:rsidR="00235E05" w:rsidRPr="00247BFB">
        <w:rPr>
          <w:rFonts w:ascii="Times New Roman" w:eastAsia="Calibri" w:hAnsi="Times New Roman" w:cs="Times New Roman"/>
        </w:rPr>
        <w:t>ada 2021. godine, 17. svibnja 2022. godine i Revizija II.</w:t>
      </w:r>
      <w:r w:rsidR="00247BFB" w:rsidRPr="00247BFB">
        <w:rPr>
          <w:rFonts w:ascii="Times New Roman" w:eastAsia="Calibri" w:hAnsi="Times New Roman" w:cs="Times New Roman"/>
        </w:rPr>
        <w:t>-</w:t>
      </w:r>
      <w:r w:rsidR="00235E05" w:rsidRPr="00247BFB">
        <w:rPr>
          <w:rFonts w:ascii="Times New Roman" w:eastAsia="Calibri" w:hAnsi="Times New Roman" w:cs="Times New Roman"/>
        </w:rPr>
        <w:t>2023.</w:t>
      </w:r>
      <w:r w:rsidR="00247BFB" w:rsidRPr="00247BFB">
        <w:rPr>
          <w:rFonts w:ascii="Times New Roman" w:eastAsia="Calibri" w:hAnsi="Times New Roman" w:cs="Times New Roman"/>
        </w:rPr>
        <w:t xml:space="preserve">od 06. lipnja 2023. </w:t>
      </w:r>
      <w:r w:rsidR="00235E05" w:rsidRPr="00247BFB">
        <w:rPr>
          <w:rFonts w:ascii="Times New Roman" w:eastAsia="Calibri" w:hAnsi="Times New Roman" w:cs="Times New Roman"/>
        </w:rPr>
        <w:t>godine</w:t>
      </w:r>
      <w:r w:rsidRPr="00247BFB">
        <w:rPr>
          <w:rFonts w:ascii="Times New Roman" w:eastAsia="Calibri" w:hAnsi="Times New Roman" w:cs="Times New Roman"/>
        </w:rPr>
        <w:t xml:space="preserve">), kao i pripadajućim Planom djelovanja civilne zaštite Općine, obrađene su slijedeće prirodne ugroze: </w:t>
      </w:r>
    </w:p>
    <w:p w14:paraId="4777C286" w14:textId="77777777" w:rsidR="00E732EF" w:rsidRPr="00661C0A" w:rsidRDefault="00E732EF" w:rsidP="00E732EF">
      <w:pPr>
        <w:numPr>
          <w:ilvl w:val="0"/>
          <w:numId w:val="4"/>
        </w:numPr>
        <w:spacing w:after="0" w:line="240" w:lineRule="auto"/>
        <w:rPr>
          <w:rFonts w:ascii="Times New Roman" w:eastAsia="Calibri" w:hAnsi="Times New Roman" w:cs="Times New Roman"/>
        </w:rPr>
      </w:pPr>
      <w:r w:rsidRPr="00661C0A">
        <w:rPr>
          <w:rFonts w:ascii="Times New Roman" w:eastAsia="Calibri" w:hAnsi="Times New Roman" w:cs="Times New Roman"/>
        </w:rPr>
        <w:t xml:space="preserve">Potres </w:t>
      </w:r>
    </w:p>
    <w:p w14:paraId="586E7C27" w14:textId="77777777" w:rsidR="00E732EF" w:rsidRPr="00661C0A" w:rsidRDefault="00E732EF" w:rsidP="00E732EF">
      <w:pPr>
        <w:numPr>
          <w:ilvl w:val="0"/>
          <w:numId w:val="4"/>
        </w:numPr>
        <w:spacing w:after="0" w:line="240" w:lineRule="auto"/>
        <w:rPr>
          <w:rFonts w:ascii="Times New Roman" w:eastAsia="Calibri" w:hAnsi="Times New Roman" w:cs="Times New Roman"/>
        </w:rPr>
      </w:pPr>
      <w:r w:rsidRPr="00661C0A">
        <w:rPr>
          <w:rFonts w:ascii="Times New Roman" w:eastAsia="Calibri" w:hAnsi="Times New Roman" w:cs="Times New Roman"/>
        </w:rPr>
        <w:t xml:space="preserve">Poplava </w:t>
      </w:r>
    </w:p>
    <w:p w14:paraId="219DBD1C" w14:textId="77777777" w:rsidR="00E732EF" w:rsidRPr="00661C0A" w:rsidRDefault="00E732EF" w:rsidP="00E732EF">
      <w:pPr>
        <w:numPr>
          <w:ilvl w:val="0"/>
          <w:numId w:val="4"/>
        </w:numPr>
        <w:spacing w:after="0" w:line="240" w:lineRule="auto"/>
        <w:rPr>
          <w:rFonts w:ascii="Times New Roman" w:eastAsia="Calibri" w:hAnsi="Times New Roman" w:cs="Times New Roman"/>
        </w:rPr>
      </w:pPr>
      <w:r w:rsidRPr="00661C0A">
        <w:rPr>
          <w:rFonts w:ascii="Times New Roman" w:eastAsia="Calibri" w:hAnsi="Times New Roman" w:cs="Times New Roman"/>
        </w:rPr>
        <w:t>Ekstremne vremenske pojave- snijeg i led, vjetar, tuča,mraz i dr.</w:t>
      </w:r>
    </w:p>
    <w:p w14:paraId="3B6CA5F3" w14:textId="77777777" w:rsidR="00E732EF" w:rsidRPr="00661C0A" w:rsidRDefault="00E732EF" w:rsidP="00E732EF">
      <w:pPr>
        <w:numPr>
          <w:ilvl w:val="0"/>
          <w:numId w:val="4"/>
        </w:numPr>
        <w:spacing w:after="0" w:line="240" w:lineRule="auto"/>
        <w:rPr>
          <w:rFonts w:ascii="Times New Roman" w:eastAsia="Calibri" w:hAnsi="Times New Roman" w:cs="Times New Roman"/>
        </w:rPr>
      </w:pPr>
      <w:r w:rsidRPr="00661C0A">
        <w:rPr>
          <w:rFonts w:ascii="Times New Roman" w:eastAsia="Calibri" w:hAnsi="Times New Roman" w:cs="Times New Roman"/>
        </w:rPr>
        <w:t>Suše</w:t>
      </w:r>
    </w:p>
    <w:p w14:paraId="52273FC1" w14:textId="77777777" w:rsidR="00E732EF" w:rsidRPr="00661C0A" w:rsidRDefault="00E732EF" w:rsidP="00E732EF">
      <w:pPr>
        <w:numPr>
          <w:ilvl w:val="0"/>
          <w:numId w:val="4"/>
        </w:numPr>
        <w:spacing w:after="0" w:line="240" w:lineRule="auto"/>
        <w:rPr>
          <w:rFonts w:ascii="Times New Roman" w:eastAsia="Calibri" w:hAnsi="Times New Roman" w:cs="Times New Roman"/>
        </w:rPr>
      </w:pPr>
      <w:r w:rsidRPr="00661C0A">
        <w:rPr>
          <w:rFonts w:ascii="Times New Roman" w:eastAsia="Calibri" w:hAnsi="Times New Roman" w:cs="Times New Roman"/>
        </w:rPr>
        <w:t>Epidemije i pandemije</w:t>
      </w:r>
    </w:p>
    <w:p w14:paraId="46C5BF35" w14:textId="77777777" w:rsidR="00E732EF" w:rsidRPr="00661C0A" w:rsidRDefault="00E732EF" w:rsidP="00E732EF">
      <w:pPr>
        <w:numPr>
          <w:ilvl w:val="0"/>
          <w:numId w:val="4"/>
        </w:numPr>
        <w:spacing w:after="0" w:line="240" w:lineRule="auto"/>
        <w:rPr>
          <w:rFonts w:ascii="Times New Roman" w:eastAsia="Calibri" w:hAnsi="Times New Roman" w:cs="Times New Roman"/>
        </w:rPr>
      </w:pPr>
      <w:r w:rsidRPr="00661C0A">
        <w:rPr>
          <w:rFonts w:ascii="Times New Roman" w:eastAsia="Calibri" w:hAnsi="Times New Roman" w:cs="Times New Roman"/>
        </w:rPr>
        <w:t>Ekstremne temperature</w:t>
      </w:r>
    </w:p>
    <w:p w14:paraId="2B4523E7" w14:textId="77777777" w:rsidR="00E732EF" w:rsidRPr="00661C0A" w:rsidRDefault="00E732EF" w:rsidP="00E732EF">
      <w:pPr>
        <w:numPr>
          <w:ilvl w:val="0"/>
          <w:numId w:val="4"/>
        </w:numPr>
        <w:spacing w:after="0" w:line="240" w:lineRule="auto"/>
        <w:rPr>
          <w:rFonts w:ascii="Times New Roman" w:eastAsia="Calibri" w:hAnsi="Times New Roman" w:cs="Times New Roman"/>
        </w:rPr>
      </w:pPr>
      <w:r w:rsidRPr="00661C0A">
        <w:rPr>
          <w:rFonts w:ascii="Times New Roman" w:eastAsia="Calibri" w:hAnsi="Times New Roman" w:cs="Times New Roman"/>
        </w:rPr>
        <w:t>Klizišta tla</w:t>
      </w:r>
    </w:p>
    <w:p w14:paraId="167F31FB" w14:textId="77777777" w:rsidR="00E732EF" w:rsidRPr="00661C0A" w:rsidRDefault="00E732EF" w:rsidP="00E732EF">
      <w:pPr>
        <w:numPr>
          <w:ilvl w:val="0"/>
          <w:numId w:val="4"/>
        </w:numPr>
        <w:spacing w:after="0" w:line="240" w:lineRule="auto"/>
        <w:rPr>
          <w:rFonts w:ascii="Times New Roman" w:eastAsia="Calibri" w:hAnsi="Times New Roman" w:cs="Times New Roman"/>
        </w:rPr>
      </w:pPr>
      <w:r w:rsidRPr="00661C0A">
        <w:rPr>
          <w:rFonts w:ascii="Times New Roman" w:eastAsia="Calibri" w:hAnsi="Times New Roman" w:cs="Times New Roman"/>
        </w:rPr>
        <w:t>Procjenom ugroženosti od požara i Planom zaštite od požara Općine obrađeni požari otvorenih prostora</w:t>
      </w:r>
    </w:p>
    <w:p w14:paraId="28AD3497" w14:textId="77777777" w:rsidR="00E732EF" w:rsidRPr="00661C0A" w:rsidRDefault="00E732EF" w:rsidP="00E732EF">
      <w:pPr>
        <w:spacing w:after="0" w:line="240" w:lineRule="auto"/>
        <w:rPr>
          <w:rFonts w:ascii="Calibri" w:eastAsia="Calibri" w:hAnsi="Calibri" w:cs="Times New Roman"/>
        </w:rPr>
      </w:pPr>
    </w:p>
    <w:p w14:paraId="17C7467F"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 xml:space="preserve">1.3. UGROZE KOJE ĆE SE OBRAĐIVATI PLANOM DJELOVANJA U PODRUČJU PRIRODNIH NEPOGODA </w:t>
      </w:r>
    </w:p>
    <w:p w14:paraId="52E82E1B" w14:textId="77777777" w:rsidR="00E732EF" w:rsidRPr="00661C0A" w:rsidRDefault="00E732EF" w:rsidP="00E732EF">
      <w:pPr>
        <w:jc w:val="both"/>
        <w:rPr>
          <w:rFonts w:ascii="Times New Roman" w:eastAsia="Calibri" w:hAnsi="Times New Roman" w:cs="Times New Roman"/>
          <w:u w:val="single"/>
        </w:rPr>
      </w:pPr>
      <w:r w:rsidRPr="00661C0A">
        <w:rPr>
          <w:rFonts w:ascii="Times New Roman" w:eastAsia="Calibri" w:hAnsi="Times New Roman" w:cs="Times New Roman"/>
        </w:rPr>
        <w:t xml:space="preserve">Procjenom rizika od velikih nesreća Općine Sveti Juraj na Bregu (dokument CZ) identificirane predmetne ugroze (rizici) detaljno su obrađeni i procijenjeni, osobito </w:t>
      </w:r>
      <w:r w:rsidRPr="00661C0A">
        <w:rPr>
          <w:rFonts w:ascii="Times New Roman" w:eastAsia="Calibri" w:hAnsi="Times New Roman" w:cs="Times New Roman"/>
          <w:b/>
          <w:bCs/>
        </w:rPr>
        <w:t>potresi i klizišta tla</w:t>
      </w:r>
      <w:r w:rsidRPr="00661C0A">
        <w:rPr>
          <w:rFonts w:ascii="Times New Roman" w:eastAsia="Calibri" w:hAnsi="Times New Roman" w:cs="Times New Roman"/>
        </w:rPr>
        <w:t xml:space="preserve"> – koji mogu imati i obilježje velikih nesreća pa i katastrofa. Temeljem toga potom je napravljen i Plan djelovanja CZ, </w:t>
      </w:r>
      <w:r w:rsidRPr="00661C0A">
        <w:rPr>
          <w:rFonts w:ascii="Times New Roman" w:eastAsia="Calibri" w:hAnsi="Times New Roman" w:cs="Times New Roman"/>
          <w:u w:val="single"/>
        </w:rPr>
        <w:t>te se u ovom Planu neće ponavljati.</w:t>
      </w:r>
    </w:p>
    <w:p w14:paraId="303DB5F3"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 xml:space="preserve">Važećom Procjenom ugroženosti od požara, kao i pripadajućim Planom zaštite od požara obrađuju se mjere i postupci u slučaju požara i tehnoloških eksplozija te se ovim Planom neće obrađivati problematika požara otvorenog tipa. </w:t>
      </w:r>
    </w:p>
    <w:p w14:paraId="4A79F395" w14:textId="77777777" w:rsidR="00E732EF" w:rsidRPr="00661C0A" w:rsidRDefault="00E732EF" w:rsidP="00E732EF">
      <w:pPr>
        <w:jc w:val="both"/>
        <w:rPr>
          <w:rFonts w:ascii="Times New Roman" w:eastAsia="Calibri" w:hAnsi="Times New Roman" w:cs="Times New Roman"/>
          <w:u w:val="single"/>
        </w:rPr>
      </w:pPr>
      <w:r w:rsidRPr="00661C0A">
        <w:rPr>
          <w:rFonts w:ascii="Times New Roman" w:eastAsia="Calibri" w:hAnsi="Times New Roman" w:cs="Times New Roman"/>
          <w:u w:val="single"/>
        </w:rPr>
        <w:t xml:space="preserve">Ovim Planom će se obrađivati mjere i postupci  Općine Sveti Juraj na Bregu u slučaju najčešćih prirodnih nepogoda: </w:t>
      </w:r>
    </w:p>
    <w:p w14:paraId="43827FD5" w14:textId="77777777" w:rsidR="00E732EF" w:rsidRPr="00661C0A" w:rsidRDefault="00E732EF" w:rsidP="00E732EF">
      <w:pPr>
        <w:numPr>
          <w:ilvl w:val="0"/>
          <w:numId w:val="6"/>
        </w:numPr>
        <w:spacing w:after="0" w:line="240" w:lineRule="auto"/>
        <w:rPr>
          <w:rFonts w:ascii="Times New Roman" w:eastAsia="Calibri" w:hAnsi="Times New Roman" w:cs="Times New Roman"/>
          <w:b/>
        </w:rPr>
      </w:pPr>
      <w:r w:rsidRPr="00661C0A">
        <w:rPr>
          <w:rFonts w:ascii="Times New Roman" w:eastAsia="Calibri" w:hAnsi="Times New Roman" w:cs="Times New Roman"/>
          <w:b/>
        </w:rPr>
        <w:t xml:space="preserve">Suše </w:t>
      </w:r>
    </w:p>
    <w:p w14:paraId="006EED04" w14:textId="77777777" w:rsidR="00E732EF" w:rsidRPr="00661C0A" w:rsidRDefault="00E732EF" w:rsidP="00E732EF">
      <w:pPr>
        <w:numPr>
          <w:ilvl w:val="0"/>
          <w:numId w:val="6"/>
        </w:numPr>
        <w:spacing w:after="0" w:line="240" w:lineRule="auto"/>
        <w:rPr>
          <w:rFonts w:ascii="Times New Roman" w:eastAsia="Calibri" w:hAnsi="Times New Roman" w:cs="Times New Roman"/>
          <w:b/>
        </w:rPr>
      </w:pPr>
      <w:r w:rsidRPr="00661C0A">
        <w:rPr>
          <w:rFonts w:ascii="Times New Roman" w:eastAsia="Calibri" w:hAnsi="Times New Roman" w:cs="Times New Roman"/>
          <w:b/>
        </w:rPr>
        <w:t xml:space="preserve">Olujno i orkansko nevrijeme </w:t>
      </w:r>
    </w:p>
    <w:p w14:paraId="3A8775BD" w14:textId="77777777" w:rsidR="00E732EF" w:rsidRPr="00661C0A" w:rsidRDefault="00E732EF" w:rsidP="00E732EF">
      <w:pPr>
        <w:numPr>
          <w:ilvl w:val="0"/>
          <w:numId w:val="6"/>
        </w:numPr>
        <w:spacing w:after="0" w:line="240" w:lineRule="auto"/>
        <w:rPr>
          <w:rFonts w:ascii="Times New Roman" w:eastAsia="Calibri" w:hAnsi="Times New Roman" w:cs="Times New Roman"/>
          <w:b/>
        </w:rPr>
      </w:pPr>
      <w:r w:rsidRPr="00661C0A">
        <w:rPr>
          <w:rFonts w:ascii="Times New Roman" w:eastAsia="Calibri" w:hAnsi="Times New Roman" w:cs="Times New Roman"/>
          <w:b/>
        </w:rPr>
        <w:t xml:space="preserve">Snježne oborine </w:t>
      </w:r>
    </w:p>
    <w:p w14:paraId="79BCB1D8" w14:textId="77777777" w:rsidR="00E732EF" w:rsidRPr="00661C0A" w:rsidRDefault="00E732EF" w:rsidP="00E732EF">
      <w:pPr>
        <w:numPr>
          <w:ilvl w:val="0"/>
          <w:numId w:val="6"/>
        </w:numPr>
        <w:spacing w:after="0" w:line="240" w:lineRule="auto"/>
        <w:rPr>
          <w:rFonts w:ascii="Times New Roman" w:eastAsia="Calibri" w:hAnsi="Times New Roman" w:cs="Times New Roman"/>
          <w:b/>
        </w:rPr>
      </w:pPr>
      <w:r w:rsidRPr="00661C0A">
        <w:rPr>
          <w:rFonts w:ascii="Times New Roman" w:eastAsia="Calibri" w:hAnsi="Times New Roman" w:cs="Times New Roman"/>
          <w:b/>
        </w:rPr>
        <w:t xml:space="preserve">Poledice </w:t>
      </w:r>
    </w:p>
    <w:p w14:paraId="56FF9D22" w14:textId="77777777" w:rsidR="00E732EF" w:rsidRPr="00661C0A" w:rsidRDefault="00E732EF" w:rsidP="00E732EF">
      <w:pPr>
        <w:numPr>
          <w:ilvl w:val="0"/>
          <w:numId w:val="6"/>
        </w:numPr>
        <w:spacing w:after="0" w:line="240" w:lineRule="auto"/>
        <w:rPr>
          <w:rFonts w:ascii="Times New Roman" w:eastAsia="Calibri" w:hAnsi="Times New Roman" w:cs="Times New Roman"/>
          <w:b/>
        </w:rPr>
      </w:pPr>
      <w:r w:rsidRPr="00661C0A">
        <w:rPr>
          <w:rFonts w:ascii="Times New Roman" w:eastAsia="Calibri" w:hAnsi="Times New Roman" w:cs="Times New Roman"/>
          <w:b/>
        </w:rPr>
        <w:t xml:space="preserve">Tuča </w:t>
      </w:r>
    </w:p>
    <w:p w14:paraId="273C1052" w14:textId="77777777" w:rsidR="00E732EF" w:rsidRPr="00661C0A" w:rsidRDefault="00E732EF" w:rsidP="00F23D02">
      <w:pPr>
        <w:numPr>
          <w:ilvl w:val="0"/>
          <w:numId w:val="6"/>
        </w:numPr>
        <w:spacing w:after="0" w:line="240" w:lineRule="auto"/>
        <w:rPr>
          <w:rFonts w:ascii="Times New Roman" w:eastAsia="Calibri" w:hAnsi="Times New Roman" w:cs="Times New Roman"/>
          <w:b/>
          <w:bCs/>
        </w:rPr>
      </w:pPr>
      <w:r w:rsidRPr="00661C0A">
        <w:rPr>
          <w:rFonts w:ascii="Times New Roman" w:eastAsia="Calibri" w:hAnsi="Times New Roman" w:cs="Times New Roman"/>
          <w:b/>
          <w:bCs/>
        </w:rPr>
        <w:lastRenderedPageBreak/>
        <w:t>Klizanje tla, tečenje, odronjavanje i prevrtanje zemljišta</w:t>
      </w:r>
    </w:p>
    <w:p w14:paraId="464AF401" w14:textId="77777777" w:rsidR="00E732EF" w:rsidRPr="00661C0A" w:rsidRDefault="00E732EF" w:rsidP="00E732EF">
      <w:pPr>
        <w:jc w:val="both"/>
        <w:rPr>
          <w:rFonts w:ascii="Times New Roman" w:eastAsia="Calibri" w:hAnsi="Times New Roman" w:cs="Times New Roman"/>
          <w:b/>
          <w:bCs/>
        </w:rPr>
      </w:pPr>
      <w:r w:rsidRPr="00661C0A">
        <w:rPr>
          <w:rFonts w:ascii="Times New Roman" w:eastAsia="Calibri" w:hAnsi="Times New Roman" w:cs="Times New Roman"/>
          <w:b/>
          <w:bCs/>
        </w:rPr>
        <w:t xml:space="preserve">2. POPIS MJERA I NOSITELJA MJERA U SLUČAJU NASTAJANJA PRIRODNE NEPOGODE </w:t>
      </w:r>
    </w:p>
    <w:p w14:paraId="447F9883"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Temeljem tumačenja Zakona o ublažavanju i uklanjanju posljedica prirodnih nepogoda dobivenog od Ministarstva financija</w:t>
      </w:r>
      <w:r w:rsidR="00235E05">
        <w:rPr>
          <w:rFonts w:ascii="Times New Roman" w:eastAsia="Calibri" w:hAnsi="Times New Roman" w:cs="Times New Roman"/>
        </w:rPr>
        <w:t xml:space="preserve"> KLASA:422-02/19-01/27; URBROJ:</w:t>
      </w:r>
      <w:r w:rsidRPr="00661C0A">
        <w:rPr>
          <w:rFonts w:ascii="Times New Roman" w:eastAsia="Calibri" w:hAnsi="Times New Roman" w:cs="Times New Roman"/>
        </w:rPr>
        <w:t xml:space="preserve">13-06-02-19-5 od 26. veljače 2019. godine, pod pojmom mjere u smislu Zakona (čl.17. stavak 2. točka 1.) smatraju se sva djelovanja od strane JLS vezana za sanaciju nastalih šteta, ovisno o naravi, odnosno vrsti prirodne nepogode koja je izgledna za određeno područje, odnosno o posljedicama istih. </w:t>
      </w:r>
    </w:p>
    <w:p w14:paraId="6E0AC4BC" w14:textId="77777777" w:rsidR="00E732EF" w:rsidRPr="00661C0A" w:rsidRDefault="00E732EF" w:rsidP="00E732EF">
      <w:pPr>
        <w:rPr>
          <w:rFonts w:ascii="Times New Roman" w:eastAsia="Calibri" w:hAnsi="Times New Roman" w:cs="Times New Roman"/>
          <w:b/>
        </w:rPr>
      </w:pPr>
      <w:r w:rsidRPr="00661C0A">
        <w:rPr>
          <w:rFonts w:ascii="Times New Roman" w:eastAsia="Calibri" w:hAnsi="Times New Roman" w:cs="Times New Roman"/>
          <w:b/>
        </w:rPr>
        <w:t xml:space="preserve">  2.1. POPIS MJERA PO PRIRODNIM NEPOGODAMA </w:t>
      </w:r>
    </w:p>
    <w:p w14:paraId="2E2A56C3" w14:textId="77777777" w:rsidR="00E732EF" w:rsidRPr="00661C0A" w:rsidRDefault="00E732EF" w:rsidP="00E732EF">
      <w:pPr>
        <w:spacing w:after="0"/>
        <w:jc w:val="both"/>
        <w:rPr>
          <w:rFonts w:ascii="Times New Roman" w:eastAsia="Calibri" w:hAnsi="Times New Roman" w:cs="Times New Roman"/>
        </w:rPr>
      </w:pPr>
      <w:r w:rsidRPr="00661C0A">
        <w:rPr>
          <w:rFonts w:ascii="Times New Roman" w:eastAsia="Calibri" w:hAnsi="Times New Roman" w:cs="Times New Roman"/>
        </w:rPr>
        <w:t xml:space="preserve">Kako se prirodne nepogode uglavnom javljaju iznenada i ne nastaju uvijek štete istih razmjera, u ovom dijelu moguće je provesti: </w:t>
      </w:r>
    </w:p>
    <w:p w14:paraId="294F3110" w14:textId="77777777" w:rsidR="00E732EF" w:rsidRPr="00661C0A" w:rsidRDefault="00E732EF" w:rsidP="00E732EF">
      <w:pPr>
        <w:spacing w:after="0" w:line="240" w:lineRule="auto"/>
        <w:rPr>
          <w:rFonts w:ascii="Calibri" w:eastAsia="Calibri" w:hAnsi="Calibri" w:cs="Times New Roman"/>
        </w:rPr>
      </w:pPr>
    </w:p>
    <w:p w14:paraId="5E19EB75"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 xml:space="preserve"> </w:t>
      </w:r>
      <w:r w:rsidRPr="00661C0A">
        <w:rPr>
          <w:rFonts w:ascii="Times New Roman" w:eastAsia="MS Gothic" w:hAnsi="MS Gothic" w:cs="Times New Roman"/>
        </w:rPr>
        <w:t>➢</w:t>
      </w:r>
      <w:r w:rsidRPr="00661C0A">
        <w:rPr>
          <w:rFonts w:ascii="Times New Roman" w:eastAsia="Calibri" w:hAnsi="Times New Roman" w:cs="Times New Roman"/>
        </w:rPr>
        <w:t xml:space="preserve"> </w:t>
      </w:r>
      <w:r w:rsidRPr="00661C0A">
        <w:rPr>
          <w:rFonts w:ascii="Times New Roman" w:eastAsia="Calibri" w:hAnsi="Times New Roman" w:cs="Times New Roman"/>
          <w:b/>
          <w:bCs/>
        </w:rPr>
        <w:t>preventivne mjere</w:t>
      </w:r>
      <w:r w:rsidRPr="00661C0A">
        <w:rPr>
          <w:rFonts w:ascii="Times New Roman" w:eastAsia="Calibri" w:hAnsi="Times New Roman" w:cs="Times New Roman"/>
        </w:rPr>
        <w:t xml:space="preserve"> radi umanjenja posljedica prirodne nepogode  </w:t>
      </w:r>
    </w:p>
    <w:p w14:paraId="236ACDA2" w14:textId="4FCC481D"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u w:val="single"/>
        </w:rPr>
        <w:t>Preventivne mjere obuhvaćaju:</w:t>
      </w:r>
      <w:r w:rsidRPr="00661C0A">
        <w:rPr>
          <w:rFonts w:ascii="Times New Roman" w:eastAsia="Calibri" w:hAnsi="Times New Roman" w:cs="Times New Roman"/>
        </w:rPr>
        <w:t xml:space="preserve"> saniranje postojećih klizišta, uređivanje kanala i propusta uz prometnice, uređivanje korita potoka, rječica i rijeka, uređenje retencija, izgradnju barijera za sprečavanje odnošenja zemlje izvan poljoprivrednih površina, rušenje starih i trulih stabala, postavljanje zaštitnih mreža protiv tuče i sl. </w:t>
      </w:r>
    </w:p>
    <w:p w14:paraId="535F896E" w14:textId="77777777" w:rsidR="00E732EF" w:rsidRPr="00661C0A" w:rsidRDefault="00E732EF" w:rsidP="00E732EF">
      <w:pPr>
        <w:rPr>
          <w:rFonts w:ascii="Times New Roman" w:eastAsia="Calibri" w:hAnsi="Times New Roman" w:cs="Times New Roman"/>
        </w:rPr>
      </w:pPr>
      <w:r w:rsidRPr="00661C0A">
        <w:rPr>
          <w:rFonts w:ascii="Times New Roman" w:eastAsia="Calibri" w:hAnsi="Times New Roman" w:cs="Times New Roman"/>
        </w:rPr>
        <w:t xml:space="preserve"> </w:t>
      </w:r>
      <w:r w:rsidRPr="00661C0A">
        <w:rPr>
          <w:rFonts w:ascii="Times New Roman" w:eastAsia="MS Gothic" w:hAnsi="MS Gothic" w:cs="Times New Roman"/>
        </w:rPr>
        <w:t>➢</w:t>
      </w:r>
      <w:r w:rsidRPr="00661C0A">
        <w:rPr>
          <w:rFonts w:ascii="Times New Roman" w:eastAsia="Calibri" w:hAnsi="Times New Roman" w:cs="Times New Roman"/>
        </w:rPr>
        <w:t xml:space="preserve"> </w:t>
      </w:r>
      <w:r w:rsidRPr="00661C0A">
        <w:rPr>
          <w:rFonts w:ascii="Times New Roman" w:eastAsia="Calibri" w:hAnsi="Times New Roman" w:cs="Times New Roman"/>
          <w:b/>
          <w:bCs/>
        </w:rPr>
        <w:t>mjere za ublažavanje i otklanjanje izravnih posljedica</w:t>
      </w:r>
      <w:r w:rsidRPr="00661C0A">
        <w:rPr>
          <w:rFonts w:ascii="Times New Roman" w:eastAsia="Calibri" w:hAnsi="Times New Roman" w:cs="Times New Roman"/>
        </w:rPr>
        <w:t xml:space="preserve"> prirodne nepogode. </w:t>
      </w:r>
    </w:p>
    <w:p w14:paraId="1328290A"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u w:val="single"/>
        </w:rPr>
        <w:t>Mjere za ublažavanje i otklanjanje izravnih posljedica prirodne nepogode podrazumijevaju</w:t>
      </w:r>
      <w:r w:rsidRPr="00661C0A">
        <w:rPr>
          <w:rFonts w:ascii="Times New Roman" w:eastAsia="Calibri" w:hAnsi="Times New Roman" w:cs="Times New Roman"/>
        </w:rPr>
        <w:t xml:space="preserve"> procjenu šteta i posljedica; sanaciju nastalih oštećenja i šteta. Sanacija obuhvaća aktivnosti kojima se otklanjaju posljedice prirodne nepogode – pružanje prve pomoći unesrećenima ukoliko ih je bilo, čišćenje stambenih, gospodarskih i drugih objekata od nanosa mulja, šljunka, drveća i slično, odstranjivanje odronjene zemlje, mulja i šljunka s cesta i lokalnih putova,  te sve ostale radnje kojima se smanjuju nastala oštećenja. </w:t>
      </w:r>
    </w:p>
    <w:p w14:paraId="06BB2394" w14:textId="77777777" w:rsidR="00E732EF" w:rsidRPr="00661C0A" w:rsidRDefault="00E732EF" w:rsidP="00E732EF">
      <w:pPr>
        <w:jc w:val="both"/>
        <w:rPr>
          <w:rFonts w:ascii="Times New Roman" w:eastAsia="Calibri" w:hAnsi="Times New Roman" w:cs="Times New Roman"/>
          <w:b/>
          <w:bCs/>
        </w:rPr>
      </w:pPr>
      <w:r w:rsidRPr="00661C0A">
        <w:rPr>
          <w:rFonts w:ascii="Times New Roman" w:eastAsia="Calibri" w:hAnsi="Times New Roman" w:cs="Times New Roman"/>
          <w:b/>
          <w:bCs/>
        </w:rPr>
        <w:t xml:space="preserve">Proglašenje prirodne nepogode  </w:t>
      </w:r>
    </w:p>
    <w:p w14:paraId="5450880E"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 xml:space="preserve">Odluku o proglašenju prirodne nepogode za Općinu Sveti Juraj na Bregu donosi župan Međimurske županije na prijedlog općinskog načelnika Općine Sveti Juraj na Bregu, u slučaju da je vrijednost ukupne izravne štete najmanje 20 % vrijednosti izvornih prihoda Općine za prethodnu godinu ili ako je prirod (rod) umanjen najmanje 30 % prethodnog trogodišnjeg prosjeka na području Općine ili ako je nepogoda umanjila vrijednost imovine na području Općine najmanje 30 %. </w:t>
      </w:r>
    </w:p>
    <w:p w14:paraId="30807022"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 xml:space="preserve">Ispunjenje ovih uvjeta utvrđuje </w:t>
      </w:r>
      <w:r w:rsidRPr="00661C0A">
        <w:rPr>
          <w:rFonts w:ascii="Times New Roman" w:eastAsia="Calibri" w:hAnsi="Times New Roman" w:cs="Times New Roman"/>
          <w:b/>
          <w:bCs/>
        </w:rPr>
        <w:t>općinsko povjerenstvo</w:t>
      </w:r>
      <w:r w:rsidRPr="00661C0A">
        <w:rPr>
          <w:rFonts w:ascii="Times New Roman" w:eastAsia="Calibri" w:hAnsi="Times New Roman" w:cs="Times New Roman"/>
        </w:rPr>
        <w:t xml:space="preserve">. </w:t>
      </w:r>
    </w:p>
    <w:p w14:paraId="4A5A832C" w14:textId="77777777" w:rsidR="00E732EF" w:rsidRPr="00661C0A" w:rsidRDefault="00E732EF" w:rsidP="00E732EF">
      <w:pPr>
        <w:jc w:val="both"/>
        <w:rPr>
          <w:rFonts w:ascii="Times New Roman" w:eastAsia="Calibri" w:hAnsi="Times New Roman" w:cs="Times New Roman"/>
          <w:b/>
          <w:bCs/>
        </w:rPr>
      </w:pPr>
      <w:r w:rsidRPr="00661C0A">
        <w:rPr>
          <w:rFonts w:ascii="Times New Roman" w:eastAsia="Calibri" w:hAnsi="Times New Roman" w:cs="Times New Roman"/>
          <w:b/>
          <w:bCs/>
        </w:rPr>
        <w:t xml:space="preserve">Registar šteta, prva procjena štete te sadržaj prijave prve procjene štete   </w:t>
      </w:r>
    </w:p>
    <w:p w14:paraId="426BD39D" w14:textId="6AF75CFF" w:rsidR="00E732EF" w:rsidRDefault="00E732EF" w:rsidP="00851904">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Svrha procjene šteta jest utvrđivanje vrste i veličine šteta na sredstvima i drugim dobrima, po vremenu i uzrocima nastanka, te po vlasnicima i korisnicima dobara, kao i stradanja i gubici stanovništva. Kao šteta od elementarne nepogode, za koju se može dati pomoć, smatra se izravna (direktna) šteta. Šteta se procjenjuje na području na kojem se dogodila. Uvjet za procjenu štete mora biti proglašenje prirodne nepogode. Odluka o proglašenju prirodne nepogode unosi se u Registar šteta po vrsti prirodne nepogode (</w:t>
      </w:r>
      <w:r w:rsidRPr="00661C0A">
        <w:rPr>
          <w:rFonts w:ascii="Times New Roman" w:eastAsia="Calibri" w:hAnsi="Times New Roman" w:cs="Times New Roman"/>
          <w:b/>
          <w:bCs/>
        </w:rPr>
        <w:t>Prilog Plana</w:t>
      </w:r>
      <w:r w:rsidRPr="00661C0A">
        <w:rPr>
          <w:rFonts w:ascii="Times New Roman" w:eastAsia="Calibri" w:hAnsi="Times New Roman" w:cs="Times New Roman"/>
        </w:rPr>
        <w:t>).</w:t>
      </w:r>
    </w:p>
    <w:p w14:paraId="5103DC7F" w14:textId="77777777" w:rsidR="00851904" w:rsidRPr="00661C0A" w:rsidRDefault="00851904" w:rsidP="00851904">
      <w:pPr>
        <w:spacing w:after="0" w:line="240" w:lineRule="auto"/>
        <w:jc w:val="both"/>
        <w:rPr>
          <w:rFonts w:ascii="Times New Roman" w:eastAsia="Calibri" w:hAnsi="Times New Roman" w:cs="Times New Roman"/>
        </w:rPr>
      </w:pPr>
    </w:p>
    <w:p w14:paraId="3DA1FA9D"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Prvu procjenu štete oštećenik dostavlja općinskom povjerenstvu na propisanom obrascu PN (</w:t>
      </w:r>
      <w:r w:rsidRPr="00661C0A">
        <w:rPr>
          <w:rFonts w:ascii="Times New Roman" w:eastAsia="Calibri" w:hAnsi="Times New Roman" w:cs="Times New Roman"/>
          <w:b/>
          <w:bCs/>
        </w:rPr>
        <w:t>Prilog</w:t>
      </w:r>
      <w:r w:rsidR="006A63D7">
        <w:rPr>
          <w:rFonts w:ascii="Times New Roman" w:eastAsia="Calibri" w:hAnsi="Times New Roman" w:cs="Times New Roman"/>
          <w:b/>
          <w:bCs/>
        </w:rPr>
        <w:t xml:space="preserve"> broj</w:t>
      </w:r>
      <w:r w:rsidRPr="00661C0A">
        <w:rPr>
          <w:rFonts w:ascii="Times New Roman" w:eastAsia="Calibri" w:hAnsi="Times New Roman" w:cs="Times New Roman"/>
          <w:b/>
          <w:bCs/>
        </w:rPr>
        <w:t xml:space="preserve"> 3</w:t>
      </w:r>
      <w:r w:rsidR="006A63D7">
        <w:rPr>
          <w:rFonts w:ascii="Times New Roman" w:eastAsia="Calibri" w:hAnsi="Times New Roman" w:cs="Times New Roman"/>
          <w:b/>
          <w:bCs/>
        </w:rPr>
        <w:t>.</w:t>
      </w:r>
      <w:r w:rsidRPr="00661C0A">
        <w:rPr>
          <w:rFonts w:ascii="Times New Roman" w:eastAsia="Calibri" w:hAnsi="Times New Roman" w:cs="Times New Roman"/>
          <w:b/>
          <w:bCs/>
        </w:rPr>
        <w:t xml:space="preserve"> Plana</w:t>
      </w:r>
      <w:r w:rsidRPr="00661C0A">
        <w:rPr>
          <w:rFonts w:ascii="Times New Roman" w:eastAsia="Calibri" w:hAnsi="Times New Roman" w:cs="Times New Roman"/>
        </w:rPr>
        <w:t>).</w:t>
      </w:r>
    </w:p>
    <w:p w14:paraId="0A1824F1" w14:textId="77777777" w:rsidR="00E732EF" w:rsidRPr="00661C0A" w:rsidRDefault="00E732EF" w:rsidP="00E732EF">
      <w:pPr>
        <w:jc w:val="both"/>
        <w:rPr>
          <w:rFonts w:ascii="Times New Roman" w:eastAsia="Calibri" w:hAnsi="Times New Roman" w:cs="Times New Roman"/>
          <w:i/>
          <w:iCs/>
          <w:u w:val="single"/>
        </w:rPr>
      </w:pPr>
      <w:r w:rsidRPr="00661C0A">
        <w:rPr>
          <w:rFonts w:ascii="Times New Roman" w:eastAsia="Calibri" w:hAnsi="Times New Roman" w:cs="Times New Roman"/>
          <w:i/>
          <w:iCs/>
          <w:u w:val="single"/>
        </w:rPr>
        <w:lastRenderedPageBreak/>
        <w:t xml:space="preserve">Šteta se utvrđuje za sljedeća Područja: </w:t>
      </w:r>
    </w:p>
    <w:p w14:paraId="5B4DE51A" w14:textId="77777777" w:rsidR="00E732EF" w:rsidRPr="00661C0A" w:rsidRDefault="00E732EF" w:rsidP="00E732EF">
      <w:pPr>
        <w:numPr>
          <w:ilvl w:val="0"/>
          <w:numId w:val="25"/>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Procjena štete na građevinama </w:t>
      </w:r>
    </w:p>
    <w:p w14:paraId="565AEF16" w14:textId="77777777" w:rsidR="00E732EF" w:rsidRPr="00661C0A" w:rsidRDefault="00E732EF" w:rsidP="00E732EF">
      <w:pPr>
        <w:numPr>
          <w:ilvl w:val="0"/>
          <w:numId w:val="25"/>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Procjena štete na opremi </w:t>
      </w:r>
    </w:p>
    <w:p w14:paraId="7992F442" w14:textId="77777777" w:rsidR="00E732EF" w:rsidRPr="00661C0A" w:rsidRDefault="00E732EF" w:rsidP="00E732EF">
      <w:pPr>
        <w:numPr>
          <w:ilvl w:val="0"/>
          <w:numId w:val="25"/>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Procjena štete na zemljištima </w:t>
      </w:r>
    </w:p>
    <w:p w14:paraId="15B17CF1" w14:textId="77777777" w:rsidR="00E732EF" w:rsidRPr="00661C0A" w:rsidRDefault="00E732EF" w:rsidP="00E732EF">
      <w:pPr>
        <w:numPr>
          <w:ilvl w:val="0"/>
          <w:numId w:val="25"/>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Procjena štete na šumama </w:t>
      </w:r>
    </w:p>
    <w:p w14:paraId="5512F1DB" w14:textId="77777777" w:rsidR="00E732EF" w:rsidRPr="00661C0A" w:rsidRDefault="00E732EF" w:rsidP="00E732EF">
      <w:pPr>
        <w:numPr>
          <w:ilvl w:val="0"/>
          <w:numId w:val="25"/>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Procjena štete u poljoprivredi</w:t>
      </w:r>
    </w:p>
    <w:p w14:paraId="52D54343" w14:textId="77777777" w:rsidR="00E732EF" w:rsidRPr="00661C0A" w:rsidRDefault="00E732EF" w:rsidP="00E732EF">
      <w:pPr>
        <w:numPr>
          <w:ilvl w:val="0"/>
          <w:numId w:val="25"/>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Procjena štete u biljnoj proizvodnji </w:t>
      </w:r>
    </w:p>
    <w:p w14:paraId="5A823FF9" w14:textId="77777777" w:rsidR="00E732EF" w:rsidRPr="00661C0A" w:rsidRDefault="00E732EF" w:rsidP="00E732EF">
      <w:pPr>
        <w:numPr>
          <w:ilvl w:val="0"/>
          <w:numId w:val="25"/>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Procjena štete na višegodišnjim nasadima</w:t>
      </w:r>
    </w:p>
    <w:p w14:paraId="51DD1D1B" w14:textId="77777777" w:rsidR="00E732EF" w:rsidRPr="00661C0A" w:rsidRDefault="00E732EF" w:rsidP="00E732EF">
      <w:pPr>
        <w:numPr>
          <w:ilvl w:val="0"/>
          <w:numId w:val="25"/>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Procjena štete na obrtnim sredstvima u poljoprivredi</w:t>
      </w:r>
    </w:p>
    <w:p w14:paraId="2AB272FF" w14:textId="77777777" w:rsidR="00E732EF" w:rsidRPr="00661C0A" w:rsidRDefault="00E732EF" w:rsidP="00E732EF">
      <w:pPr>
        <w:numPr>
          <w:ilvl w:val="0"/>
          <w:numId w:val="25"/>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Procjena štete u stočarstvu</w:t>
      </w:r>
    </w:p>
    <w:p w14:paraId="1AF2607A" w14:textId="77777777" w:rsidR="00E732EF" w:rsidRPr="00661C0A" w:rsidRDefault="00E732EF" w:rsidP="00E732EF">
      <w:pPr>
        <w:numPr>
          <w:ilvl w:val="0"/>
          <w:numId w:val="25"/>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Procjena štete u ribarstvu i akvakulturi </w:t>
      </w:r>
    </w:p>
    <w:p w14:paraId="5F6BF8DE" w14:textId="77777777" w:rsidR="00E732EF" w:rsidRPr="00661C0A" w:rsidRDefault="00E732EF" w:rsidP="00E732EF">
      <w:pPr>
        <w:numPr>
          <w:ilvl w:val="0"/>
          <w:numId w:val="25"/>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Procjena štete na divljači</w:t>
      </w:r>
    </w:p>
    <w:p w14:paraId="4C37409A" w14:textId="77777777" w:rsidR="00E732EF" w:rsidRPr="00661C0A" w:rsidRDefault="00E732EF" w:rsidP="00E732EF">
      <w:pPr>
        <w:spacing w:after="0" w:line="240" w:lineRule="auto"/>
        <w:rPr>
          <w:rFonts w:ascii="Calibri" w:eastAsia="Calibri" w:hAnsi="Calibri" w:cs="Times New Roman"/>
          <w:sz w:val="16"/>
          <w:szCs w:val="16"/>
        </w:rPr>
      </w:pPr>
    </w:p>
    <w:p w14:paraId="7EB6399F" w14:textId="77777777" w:rsidR="00E732EF" w:rsidRPr="00661C0A" w:rsidRDefault="00E732EF" w:rsidP="00E732EF">
      <w:pPr>
        <w:shd w:val="clear" w:color="auto" w:fill="FFFFFF"/>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Kako se procjenjuju pojedine gornje štete (Pravilnik o registru šteta u poljoprivredi) i pripadajući Obrasci – Prilozi, nalaze se u </w:t>
      </w:r>
      <w:r w:rsidRPr="00661C0A">
        <w:rPr>
          <w:rFonts w:ascii="Times New Roman" w:eastAsia="Calibri" w:hAnsi="Times New Roman" w:cs="Times New Roman"/>
          <w:b/>
          <w:bCs/>
        </w:rPr>
        <w:t>prilogu ovog Plana br</w:t>
      </w:r>
      <w:r w:rsidR="006A63D7">
        <w:rPr>
          <w:rFonts w:ascii="Times New Roman" w:eastAsia="Calibri" w:hAnsi="Times New Roman" w:cs="Times New Roman"/>
          <w:b/>
          <w:bCs/>
        </w:rPr>
        <w:t>oj</w:t>
      </w:r>
      <w:r w:rsidRPr="00661C0A">
        <w:rPr>
          <w:rFonts w:ascii="Times New Roman" w:eastAsia="Calibri" w:hAnsi="Times New Roman" w:cs="Times New Roman"/>
          <w:b/>
          <w:bCs/>
        </w:rPr>
        <w:t xml:space="preserve"> 3</w:t>
      </w:r>
      <w:r w:rsidR="006A63D7">
        <w:rPr>
          <w:rFonts w:ascii="Times New Roman" w:eastAsia="Calibri" w:hAnsi="Times New Roman" w:cs="Times New Roman"/>
          <w:b/>
          <w:bCs/>
        </w:rPr>
        <w:t>.</w:t>
      </w:r>
    </w:p>
    <w:p w14:paraId="2FCD7542" w14:textId="77777777" w:rsidR="00E732EF" w:rsidRPr="00661C0A" w:rsidRDefault="00E732EF" w:rsidP="00E732EF">
      <w:pPr>
        <w:shd w:val="clear" w:color="auto" w:fill="FFFFFF"/>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Podaci o razvrstavanju dobara i šifre pojedinačno po kulturama objavljuju se na Internet stranici Ministarstva financija </w:t>
      </w:r>
      <w:r w:rsidRPr="00661C0A">
        <w:rPr>
          <w:rFonts w:ascii="Times New Roman" w:eastAsia="Calibri" w:hAnsi="Times New Roman" w:cs="Times New Roman"/>
          <w:b/>
          <w:bCs/>
        </w:rPr>
        <w:t>www.mfin.hr.</w:t>
      </w:r>
      <w:r w:rsidRPr="00661C0A">
        <w:rPr>
          <w:rFonts w:ascii="Times New Roman" w:eastAsia="Calibri" w:hAnsi="Times New Roman" w:cs="Times New Roman"/>
        </w:rPr>
        <w:t xml:space="preserve"> </w:t>
      </w:r>
    </w:p>
    <w:p w14:paraId="78183F69" w14:textId="77777777" w:rsidR="00E732EF" w:rsidRPr="00661C0A" w:rsidRDefault="00E732EF" w:rsidP="00E732EF">
      <w:pPr>
        <w:shd w:val="clear" w:color="auto" w:fill="FFFFFF"/>
        <w:spacing w:after="0" w:line="240" w:lineRule="auto"/>
        <w:rPr>
          <w:rFonts w:ascii="Calibri" w:eastAsia="Calibri" w:hAnsi="Calibri" w:cs="Times New Roman"/>
        </w:rPr>
      </w:pPr>
    </w:p>
    <w:p w14:paraId="5545A890"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 xml:space="preserve">Nakon proglašenja prirodne nepogode, u cilju dodjele novčanih sredstava za djelomičnu sanaciju šteta od prirodnih nepogoda, nadležna tijela iz članka 5. Zakona provode sljedeće radnje: </w:t>
      </w:r>
    </w:p>
    <w:p w14:paraId="6C607B3F"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1. Prijavu prve procjene štete u Registar šteta  </w:t>
      </w:r>
    </w:p>
    <w:p w14:paraId="4C64FF0C"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2. Prijavu konačne procjene štete u Registar šteta  </w:t>
      </w:r>
    </w:p>
    <w:p w14:paraId="59993D35"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3. Potvrdu konačne procjene štete u Registar šteta  </w:t>
      </w:r>
    </w:p>
    <w:p w14:paraId="66CE0FE4" w14:textId="77777777" w:rsidR="00E732EF" w:rsidRPr="00661C0A" w:rsidRDefault="00E732EF" w:rsidP="00E732EF">
      <w:pPr>
        <w:spacing w:after="0" w:line="240" w:lineRule="auto"/>
        <w:rPr>
          <w:rFonts w:ascii="Calibri" w:eastAsia="Calibri" w:hAnsi="Calibri" w:cs="Times New Roman"/>
          <w:sz w:val="16"/>
          <w:szCs w:val="16"/>
        </w:rPr>
      </w:pPr>
    </w:p>
    <w:p w14:paraId="0A447E6A"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 xml:space="preserve">Registar šteta je jedinstvena digitalna baza podataka o svim štetama nastalim zbog prirodnih nepogoda na području Republike Hrvatske. Sukladno članku 41. Zakona, obveznik unosa podataka u Registar šteta na </w:t>
      </w:r>
      <w:r w:rsidRPr="00661C0A">
        <w:rPr>
          <w:rFonts w:ascii="Times New Roman" w:eastAsia="Calibri" w:hAnsi="Times New Roman" w:cs="Times New Roman"/>
          <w:u w:val="single"/>
        </w:rPr>
        <w:t>razini Općine Sveti Juraj na Bregu je općinsko povjerenstvo</w:t>
      </w:r>
      <w:r w:rsidRPr="00661C0A">
        <w:rPr>
          <w:rFonts w:ascii="Times New Roman" w:eastAsia="Calibri" w:hAnsi="Times New Roman" w:cs="Times New Roman"/>
        </w:rPr>
        <w:t xml:space="preserve">. Općinsko povjerenstvo u Registar šteta unosi prijave prvih procjena šteta i prijave konačnih procjena šteta, jedinstvene cijene te izvješća o utrošku dodijeljenih sredstava pomoći u skladu s obrascima i elektroničkim sučeljem. Podaci iz Registra šteta koriste se kao osnova za određenje sredstava pomoći za djelomičnu sanaciju šteta nastalih zbog prirodnih nepogoda te za izradu izvješća o radu Državnog povjerenstva. </w:t>
      </w:r>
    </w:p>
    <w:p w14:paraId="00B26128"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 xml:space="preserve">Sukladno članku 25. Zakona, oštećenik nakon nastanka prirodne nepogode prijavljuje štetu na imovini općinskom povjerenstvu u pisanom obliku, na propisanom obrascu, najkasnije u roku od 8 dana od dana donošenja Odluke o proglašenju prirodne nepogode. Nakon isteka roka od 8 dana općinsko povjerenstvo unosi sve zaprimljene prve procjene štete u Registar šteta najkasnije u roku od 15 dana od dana donošenja Odluke o proglašenju prirodne nepogode. Iznimno, oštećenik može podnijeti prijavu prvih procjena šteta i nakon isteka roka od 8 dana od dana donošenja Odluke o proglašenju prirodne nepogode u slučaju postojanja objektivnih razloga na koje nije mogao utjecati, a najkasnije u roku od 12 dana od donošenja Odluke o proglašenju prirodne nepogode. Također, iznimno, rok za unos podataka u Registar šteta od strane općinskog povjerenstva može se, u slučaju postojanja objektivnih razloga na koje oštećenik nije mogao utjecati, a zbog kojih je onemogućen elektronički unos podataka u Registar šteta, produljiti za 8 dana. O produljenju navedenog roka odlučuje županijsko povjerenstvo na temelju zahtjeva općinskog povjerenstva. </w:t>
      </w:r>
    </w:p>
    <w:p w14:paraId="5645FB4B" w14:textId="77777777" w:rsidR="00E732EF" w:rsidRPr="00661C0A" w:rsidRDefault="00E732EF" w:rsidP="00E732EF">
      <w:pPr>
        <w:jc w:val="both"/>
        <w:rPr>
          <w:rFonts w:ascii="Times New Roman" w:eastAsia="Calibri" w:hAnsi="Times New Roman" w:cs="Times New Roman"/>
          <w:u w:val="single"/>
        </w:rPr>
      </w:pPr>
      <w:r w:rsidRPr="00661C0A">
        <w:rPr>
          <w:rFonts w:ascii="Times New Roman" w:eastAsia="Calibri" w:hAnsi="Times New Roman" w:cs="Times New Roman"/>
          <w:u w:val="single"/>
        </w:rPr>
        <w:t xml:space="preserve">Prijava prve procjene štete sadržava: </w:t>
      </w:r>
    </w:p>
    <w:p w14:paraId="55C65C30" w14:textId="77777777" w:rsidR="00E732EF" w:rsidRPr="00661C0A" w:rsidRDefault="00E732EF" w:rsidP="00E732EF">
      <w:pPr>
        <w:numPr>
          <w:ilvl w:val="0"/>
          <w:numId w:val="27"/>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datum donošenja Odluke o proglašenju prirodne nepogode i njezin broj </w:t>
      </w:r>
    </w:p>
    <w:p w14:paraId="35CB90FA" w14:textId="77777777" w:rsidR="00E732EF" w:rsidRPr="00661C0A" w:rsidRDefault="00E732EF" w:rsidP="00E732EF">
      <w:pPr>
        <w:numPr>
          <w:ilvl w:val="0"/>
          <w:numId w:val="27"/>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podatke o vrsti prirodne nepogode </w:t>
      </w:r>
    </w:p>
    <w:p w14:paraId="5D85A41B" w14:textId="77777777" w:rsidR="00E732EF" w:rsidRPr="00661C0A" w:rsidRDefault="00E732EF" w:rsidP="00E732EF">
      <w:pPr>
        <w:numPr>
          <w:ilvl w:val="0"/>
          <w:numId w:val="27"/>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podatke o trajanju prirodne nepogode</w:t>
      </w:r>
    </w:p>
    <w:p w14:paraId="6AF57F1D" w14:textId="77777777" w:rsidR="00E732EF" w:rsidRPr="00661C0A" w:rsidRDefault="00E732EF" w:rsidP="00E732EF">
      <w:pPr>
        <w:numPr>
          <w:ilvl w:val="0"/>
          <w:numId w:val="27"/>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podatke o području zahvaćenom prirodnom nepogodom </w:t>
      </w:r>
    </w:p>
    <w:p w14:paraId="671A7D89" w14:textId="77777777" w:rsidR="00E732EF" w:rsidRPr="00661C0A" w:rsidRDefault="00E732EF" w:rsidP="00E732EF">
      <w:pPr>
        <w:numPr>
          <w:ilvl w:val="0"/>
          <w:numId w:val="27"/>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lastRenderedPageBreak/>
        <w:t xml:space="preserve">podatke o vrsti, opisu te vrijednosti oštećene imovine </w:t>
      </w:r>
    </w:p>
    <w:p w14:paraId="7E4ED04D" w14:textId="77777777" w:rsidR="00E732EF" w:rsidRPr="00661C0A" w:rsidRDefault="00E732EF" w:rsidP="00E732EF">
      <w:pPr>
        <w:numPr>
          <w:ilvl w:val="0"/>
          <w:numId w:val="27"/>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podatke o ukupnom iznosu prijavljene štete (članaka 25. i 26. Zakona), </w:t>
      </w:r>
    </w:p>
    <w:p w14:paraId="20923D33" w14:textId="6FE9BAA2" w:rsidR="00E732EF" w:rsidRDefault="00E732EF" w:rsidP="00E732EF">
      <w:pPr>
        <w:numPr>
          <w:ilvl w:val="0"/>
          <w:numId w:val="27"/>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podatke i informacije o potrebi žurnog djelovanja i dodjeli pomoći za sanaciju i djelomično uklanjanje posljedica prirodne nepogode te ostale podatke o prijavi štete sukladno Zakonu</w:t>
      </w:r>
    </w:p>
    <w:p w14:paraId="3354BBB2" w14:textId="77777777" w:rsidR="007605E8" w:rsidRPr="007605E8" w:rsidRDefault="007605E8" w:rsidP="007605E8">
      <w:pPr>
        <w:spacing w:after="0" w:line="240" w:lineRule="auto"/>
        <w:ind w:left="720"/>
        <w:jc w:val="both"/>
        <w:rPr>
          <w:rFonts w:ascii="Times New Roman" w:eastAsia="Calibri" w:hAnsi="Times New Roman" w:cs="Times New Roman"/>
        </w:rPr>
      </w:pPr>
    </w:p>
    <w:p w14:paraId="25429FCD" w14:textId="77777777" w:rsidR="00E732EF" w:rsidRPr="00661C0A" w:rsidRDefault="00E732EF" w:rsidP="00E732EF">
      <w:pPr>
        <w:jc w:val="both"/>
        <w:rPr>
          <w:rFonts w:ascii="Times New Roman" w:eastAsia="Calibri" w:hAnsi="Times New Roman" w:cs="Times New Roman"/>
          <w:u w:val="single"/>
        </w:rPr>
      </w:pPr>
      <w:r w:rsidRPr="00661C0A">
        <w:rPr>
          <w:rFonts w:ascii="Times New Roman" w:eastAsia="Calibri" w:hAnsi="Times New Roman" w:cs="Times New Roman"/>
          <w:u w:val="single"/>
        </w:rPr>
        <w:t xml:space="preserve">Konačna procjena štete </w:t>
      </w:r>
    </w:p>
    <w:p w14:paraId="07F93FE3"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 xml:space="preserve">Konačna procjena štete predstavlja procijenjenu vrijednost nastale štete uzrokovane prirodnom nepogodom na imovini oštećenika izražene u novčanoj vrijednosti na temelju prijave i procjene štete. Konačnu procjenu štete utvrđuje gradsko povjerenstvo na temelju izvršenog uvida u nastalu štetu na temelju prijave oštećenika. Tijekom procjene i utvrđivanja konačne procjene štete od prirodnih nepogoda posebno se utvrđuju: </w:t>
      </w:r>
    </w:p>
    <w:p w14:paraId="001494BA" w14:textId="77777777" w:rsidR="00E732EF" w:rsidRPr="00661C0A" w:rsidRDefault="00E732EF" w:rsidP="00E732EF">
      <w:pPr>
        <w:numPr>
          <w:ilvl w:val="1"/>
          <w:numId w:val="29"/>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stradanja stanovništva </w:t>
      </w:r>
    </w:p>
    <w:p w14:paraId="309A4BF5" w14:textId="77777777" w:rsidR="00E732EF" w:rsidRPr="00661C0A" w:rsidRDefault="00E732EF" w:rsidP="00E732EF">
      <w:pPr>
        <w:numPr>
          <w:ilvl w:val="1"/>
          <w:numId w:val="29"/>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opseg štete na imovini </w:t>
      </w:r>
    </w:p>
    <w:p w14:paraId="2A60CC2D" w14:textId="77777777" w:rsidR="00E732EF" w:rsidRPr="00661C0A" w:rsidRDefault="00E732EF" w:rsidP="00E732EF">
      <w:pPr>
        <w:numPr>
          <w:ilvl w:val="1"/>
          <w:numId w:val="29"/>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opseg štete koja je nastala zbog prekida proizvodnje, prekida rada ili poremećaja u neproizvodnim djelatnostima ili umanjenog prinosa u poljoprivredi, šumarstvu ili ribarstvu </w:t>
      </w:r>
    </w:p>
    <w:p w14:paraId="5E85971D" w14:textId="77777777" w:rsidR="00E732EF" w:rsidRPr="00661C0A" w:rsidRDefault="00E732EF" w:rsidP="00E732EF">
      <w:pPr>
        <w:numPr>
          <w:ilvl w:val="1"/>
          <w:numId w:val="29"/>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iznos troškova za ublažavanje i djelomično uklanjanje izravnih posljedica prirodnih nepogoda </w:t>
      </w:r>
    </w:p>
    <w:p w14:paraId="4603194A" w14:textId="77777777" w:rsidR="00E732EF" w:rsidRPr="00661C0A" w:rsidRDefault="00E732EF" w:rsidP="00E732EF">
      <w:pPr>
        <w:numPr>
          <w:ilvl w:val="1"/>
          <w:numId w:val="29"/>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opseg osiguranja imovine i života kod osiguravatelja </w:t>
      </w:r>
    </w:p>
    <w:p w14:paraId="6775B1DD" w14:textId="400FAC02" w:rsidR="00E732EF" w:rsidRDefault="00E732EF" w:rsidP="00E732EF">
      <w:pPr>
        <w:numPr>
          <w:ilvl w:val="1"/>
          <w:numId w:val="29"/>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vlastite mogućnosti oštećenika glede uklanjanja posljedica štete</w:t>
      </w:r>
    </w:p>
    <w:p w14:paraId="1583DE97" w14:textId="77777777" w:rsidR="007605E8" w:rsidRPr="007605E8" w:rsidRDefault="007605E8" w:rsidP="007605E8">
      <w:pPr>
        <w:spacing w:after="0" w:line="240" w:lineRule="auto"/>
        <w:ind w:left="1440"/>
        <w:jc w:val="both"/>
        <w:rPr>
          <w:rFonts w:ascii="Times New Roman" w:eastAsia="Calibri" w:hAnsi="Times New Roman" w:cs="Times New Roman"/>
        </w:rPr>
      </w:pPr>
    </w:p>
    <w:p w14:paraId="29354EB7" w14:textId="77777777" w:rsidR="00E732EF" w:rsidRPr="00661C0A" w:rsidRDefault="00E732EF" w:rsidP="00E732EF">
      <w:pPr>
        <w:jc w:val="both"/>
        <w:rPr>
          <w:rFonts w:ascii="Times New Roman" w:eastAsia="Calibri" w:hAnsi="Times New Roman" w:cs="Times New Roman"/>
          <w:u w:val="single"/>
        </w:rPr>
      </w:pPr>
      <w:r w:rsidRPr="00661C0A">
        <w:rPr>
          <w:rFonts w:ascii="Times New Roman" w:eastAsia="Calibri" w:hAnsi="Times New Roman" w:cs="Times New Roman"/>
          <w:u w:val="single"/>
        </w:rPr>
        <w:t>Prijava konačne procjene štete sadržava:</w:t>
      </w:r>
    </w:p>
    <w:p w14:paraId="7D199DBD" w14:textId="77777777" w:rsidR="00E732EF" w:rsidRPr="00661C0A" w:rsidRDefault="00E732EF" w:rsidP="00E732EF">
      <w:pPr>
        <w:numPr>
          <w:ilvl w:val="1"/>
          <w:numId w:val="31"/>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odluku o proglašenju prirodne nepogode s obrazloženjem, </w:t>
      </w:r>
    </w:p>
    <w:p w14:paraId="5AC56501" w14:textId="77777777" w:rsidR="00E732EF" w:rsidRPr="00661C0A" w:rsidRDefault="00E732EF" w:rsidP="00E732EF">
      <w:pPr>
        <w:numPr>
          <w:ilvl w:val="1"/>
          <w:numId w:val="31"/>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podatke o dokumentaciji vlasništva imovine i njihovoj vrsti,  </w:t>
      </w:r>
    </w:p>
    <w:p w14:paraId="61C0AF41" w14:textId="77777777" w:rsidR="00E732EF" w:rsidRPr="00661C0A" w:rsidRDefault="00E732EF" w:rsidP="00E732EF">
      <w:pPr>
        <w:numPr>
          <w:ilvl w:val="1"/>
          <w:numId w:val="31"/>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podatke o vremenu i području nastanka prirodne nepogode, </w:t>
      </w:r>
    </w:p>
    <w:p w14:paraId="38102CED" w14:textId="77777777" w:rsidR="00E732EF" w:rsidRPr="00661C0A" w:rsidRDefault="00E732EF" w:rsidP="00E732EF">
      <w:pPr>
        <w:numPr>
          <w:ilvl w:val="1"/>
          <w:numId w:val="31"/>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podatke o uzroku i opsegu štete </w:t>
      </w:r>
    </w:p>
    <w:p w14:paraId="5F98518B" w14:textId="77777777" w:rsidR="00E732EF" w:rsidRPr="00661C0A" w:rsidRDefault="00E732EF" w:rsidP="00E732EF">
      <w:pPr>
        <w:numPr>
          <w:ilvl w:val="1"/>
          <w:numId w:val="31"/>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podatke o posljedicama prirodne nepogode za javni i gospodarski život Općine Sveti Juraj na Bregu </w:t>
      </w:r>
    </w:p>
    <w:p w14:paraId="717D2C57" w14:textId="77777777" w:rsidR="00E732EF" w:rsidRPr="00661C0A" w:rsidRDefault="00E732EF" w:rsidP="00E732EF">
      <w:pPr>
        <w:numPr>
          <w:ilvl w:val="1"/>
          <w:numId w:val="31"/>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ostale statističke i vrijednosne podatke.  </w:t>
      </w:r>
    </w:p>
    <w:p w14:paraId="6A1B068E" w14:textId="77777777" w:rsidR="00E732EF" w:rsidRPr="00661C0A" w:rsidRDefault="00E732EF" w:rsidP="00E732EF">
      <w:pPr>
        <w:spacing w:after="0" w:line="240" w:lineRule="auto"/>
        <w:rPr>
          <w:rFonts w:ascii="Calibri" w:eastAsia="Calibri" w:hAnsi="Calibri" w:cs="Times New Roman"/>
        </w:rPr>
      </w:pPr>
    </w:p>
    <w:p w14:paraId="29D766A8"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 xml:space="preserve">Način izračuna konačne procjene štete definiran je člankom 29. Zakona. Prijavu konačne štete općinsko povjerenstvo unosi u Registar šteta sukladno rokovima iz stavaka 4. i 6. članka 28. Zakona. Županijsko povjerenstvo potom prijavljene konačne procjene štete dostavlja Državnom povjerenstvu i nadležnim ministarstvima iz članka 5. Zakona (ministarstva nadležna za financije; poljoprivredu; šumarstvo i ribarstvo; gospodarstvo; graditeljstvo i prostorno uređenje; zaštitu okoliša i energetiku; more, promet i infrastrukturu)  u roku od 60 dana od dana donošenja Odluke o proglašenju prirodne nepogode putem Registra šteta. Prilikom konačne procjene štete županijsko povjerenstvo prihvaća isključivo procjene koje je obavilo općinsko povjerenstvo. Potvrdu konačne procjene štete obavljaju nadležna ministarstva iz članka 5. Zakona, a prilikom potvrde konačne procjene štete mogu angažirati i druge znanstvene ili stručne institucije sa svrhom utvrđivanja vrijednosti konačnih šteta. Nakon potvrde konačne procjene štete prethodno spomenuta nadležna ministarstva sastavljaju izvješće s prikazom svih potvrđenih šteta iz svoje nadležnosti te na temelju njega izrađuju prijedlog o načinu dodjele pomoći za djelomičnu sanaciju šteta nastalih od prirodnih nepogoda koji dostavljaju Državnom povjerenstvu. Državno povjerenstvo pristupa provjeri i obradi podataka o konačnim procjenama šteta na temelju podataka iz Registra šteta i ostale dokumentacije te utvrđuje iznos pomoći za pojedinu vrstu štete i oštećenike tako da određuje postotak isplate novčanih sredstava u odnosu na iznos konačne potvrđene štete na imovini oštećenika. Nakon utvrđivanja prethodno navedenih uvjeta Državno povjerenstvo, a prije isplate sredstava pomoći za ublažavanje i djelomično uklanjanje </w:t>
      </w:r>
      <w:r w:rsidRPr="00661C0A">
        <w:rPr>
          <w:rFonts w:ascii="Times New Roman" w:eastAsia="Calibri" w:hAnsi="Times New Roman" w:cs="Times New Roman"/>
        </w:rPr>
        <w:lastRenderedPageBreak/>
        <w:t>posljedica prirodnih nepogoda, podnosi Vladi Republike Hrvatske prijedlog za dodjelu pomoći za ublažavanje i djelomično uklanjanje posljedica prirodnih nepogoda na temelju kojeg Vlada donosi odluku.</w:t>
      </w:r>
    </w:p>
    <w:p w14:paraId="4789F22E" w14:textId="77777777" w:rsidR="00E732EF" w:rsidRPr="00661C0A" w:rsidRDefault="00E732EF" w:rsidP="00E732EF">
      <w:pPr>
        <w:jc w:val="both"/>
        <w:rPr>
          <w:rFonts w:ascii="Times New Roman" w:eastAsia="Calibri" w:hAnsi="Times New Roman" w:cs="Times New Roman"/>
          <w:b/>
          <w:bCs/>
        </w:rPr>
      </w:pPr>
      <w:r w:rsidRPr="00661C0A">
        <w:rPr>
          <w:rFonts w:ascii="Times New Roman" w:eastAsia="Calibri" w:hAnsi="Times New Roman" w:cs="Times New Roman"/>
          <w:b/>
          <w:bCs/>
        </w:rPr>
        <w:t xml:space="preserve">Žurna pomoć te izvori sredstava pomoći za ublažavanje i djelomično uklanjanje posljedica prirodnih nepogoda </w:t>
      </w:r>
    </w:p>
    <w:p w14:paraId="121C9C91"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 xml:space="preserve">Žurna pomoć je pomoć koja se dodjeljuje u slučajevima u kojima su posljedice na imovini stanovništva, pravnih osoba i javnoj infrastrukturi uzrokovane prirodnom nepogodom i/ili katastrofom takve da prijete ugrozom zdravlja i života stanovništva na područjima zahvaćenim prirodnom nepogodom. Žurna pomoć dodjeljuje se u svrhu djelomične sanacije štete od prirodnih nepogoda u tekućoj kalendarskoj godini: </w:t>
      </w:r>
    </w:p>
    <w:p w14:paraId="6EAF0F96"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 xml:space="preserve">-  jedinicama lokalne i područne (regionalne) samouprave za pokriće troškova sanacije šteta na javnoj infrastrukturi, troškova nabave opreme za saniranje posljedica prirodne nepogode, za pokriće drugih troškova koji su usmjereni saniranju šteta od prirodne nepogode za koje ne postoje dostatni financijski izvori usmjereni na sprječavanje daljnjih šteta koje mogu ugroziti gospodarsko funkcioniranje i štetno djelovati na život i zdravlje stanovništva te onečišćenje prirodnog okoliša, </w:t>
      </w:r>
    </w:p>
    <w:p w14:paraId="4CF5CE13"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 oštećenicima fizičkim osobama koje nisu poduzetnici u smislu Zakona, a koje su pretrpjele štete na imovini, posebice ugroženim skupinama, starijima i bolesnima i ostalima kojima prijeti ugroza zdravlja i života na području zahvaćenom prirodnom nepogodom. U slučaju ispunjenja navedenih uvjeta, Općina Sveti Juraj na Bregu može isplatiti žurnu pomoć iz raspoloživih sredstava proračuna. Žurna pomoć u pravilu se dodjeljuje kao predujam i ne isključuje dodjelu pomoći u postupku koji je uređen Zakonom. Prijedlog žurne pomoći općinski načelnik upućuje Općinskom vijeću Općine Sveti Juraj na Bregu, koje na temelju njega donosi Odluku o prijedlogu žurne pomoći, koja sadržava sljedeće:</w:t>
      </w:r>
    </w:p>
    <w:p w14:paraId="0CEF8DFD" w14:textId="77777777" w:rsidR="00E732EF" w:rsidRPr="00661C0A" w:rsidRDefault="00E732EF" w:rsidP="00E732EF">
      <w:pPr>
        <w:numPr>
          <w:ilvl w:val="1"/>
          <w:numId w:val="33"/>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vrijednost novčanih sredstava žurne pomoći </w:t>
      </w:r>
    </w:p>
    <w:p w14:paraId="5D26E9A4" w14:textId="77777777" w:rsidR="00E732EF" w:rsidRPr="00661C0A" w:rsidRDefault="00E732EF" w:rsidP="00E732EF">
      <w:pPr>
        <w:numPr>
          <w:ilvl w:val="1"/>
          <w:numId w:val="33"/>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kriteriji, način raspodjele i namjena korištenja žurne pomoći </w:t>
      </w:r>
    </w:p>
    <w:p w14:paraId="38DE2467" w14:textId="77777777" w:rsidR="00E732EF" w:rsidRPr="00661C0A" w:rsidRDefault="00E732EF" w:rsidP="00E732EF">
      <w:pPr>
        <w:numPr>
          <w:ilvl w:val="1"/>
          <w:numId w:val="33"/>
        </w:num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drugi uvjeti i postupanja u raspodjeli žurne pomoći. </w:t>
      </w:r>
    </w:p>
    <w:p w14:paraId="3D274581" w14:textId="77777777" w:rsidR="00E732EF" w:rsidRPr="00661C0A" w:rsidRDefault="00E732EF" w:rsidP="00E732EF">
      <w:pPr>
        <w:spacing w:after="0" w:line="240" w:lineRule="auto"/>
        <w:rPr>
          <w:rFonts w:ascii="Calibri" w:eastAsia="Calibri" w:hAnsi="Calibri" w:cs="Times New Roman"/>
        </w:rPr>
      </w:pPr>
      <w:r w:rsidRPr="00661C0A">
        <w:rPr>
          <w:rFonts w:ascii="Calibri" w:eastAsia="Calibri" w:hAnsi="Calibri" w:cs="Times New Roman"/>
        </w:rPr>
        <w:t xml:space="preserve"> </w:t>
      </w:r>
    </w:p>
    <w:p w14:paraId="26A247A6"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 xml:space="preserve">Vlada Republike Hrvatske također donosi odluku o dodjeli žurne pomoći te ju može donijeti i na temelju prijedloga Državnog povjerenstva i/ili jedinica lokalne i područne (regionalne) samouprave. Izvješće o utrošku dodijeljenih sredstava žurne pomoći Općina Sveti Juraj na Bregu dužna je dostaviti Vladi RH u roku navedenom u zaprimljenoj Odluci. </w:t>
      </w:r>
    </w:p>
    <w:p w14:paraId="3AA3605B"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Sredstva pomoći za ublažavanje i djelomično uklanjanje posljedica prirodnih nepogoda odnose se na novčana sredstva ili ostala materijalna sredstva, kao što je oprema za zaštitu imovine fizičkih i/ili pravnih osoba, javne infrastrukture te zdravlja i života stanovništva, koja su potrebna za djelomičnu sanaciju štete nastale od prirodne nepogode.</w:t>
      </w:r>
    </w:p>
    <w:p w14:paraId="28B44D9D" w14:textId="77777777" w:rsidR="00E732EF" w:rsidRPr="00661C0A" w:rsidRDefault="00E732EF" w:rsidP="00E732EF">
      <w:pPr>
        <w:jc w:val="both"/>
        <w:rPr>
          <w:rFonts w:ascii="Times New Roman" w:eastAsia="Calibri" w:hAnsi="Times New Roman" w:cs="Times New Roman"/>
          <w:i/>
          <w:iCs/>
        </w:rPr>
      </w:pPr>
      <w:r w:rsidRPr="00661C0A">
        <w:rPr>
          <w:rFonts w:ascii="Times New Roman" w:eastAsia="Calibri" w:hAnsi="Times New Roman" w:cs="Times New Roman"/>
          <w:i/>
          <w:iCs/>
        </w:rPr>
        <w:t xml:space="preserve">Novčana sredstva i druge vrste pomoći za djelomičnu sanaciju šteta od prirodnih nepogoda na imovini oštećenika osiguravaju se iz: </w:t>
      </w:r>
    </w:p>
    <w:p w14:paraId="28124F9C"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1. državnog proračuna s proračunskog razdjela ministarstva nadležnog za financije </w:t>
      </w:r>
    </w:p>
    <w:p w14:paraId="6184E9C3"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2. fondova Europske unije  </w:t>
      </w:r>
    </w:p>
    <w:p w14:paraId="4308D2BA"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t xml:space="preserve">3. donacija. </w:t>
      </w:r>
    </w:p>
    <w:p w14:paraId="44891132" w14:textId="77777777" w:rsidR="00E732EF" w:rsidRPr="00661C0A" w:rsidRDefault="00E732EF" w:rsidP="00E732EF">
      <w:pPr>
        <w:jc w:val="both"/>
        <w:rPr>
          <w:rFonts w:ascii="Times New Roman" w:eastAsia="Calibri" w:hAnsi="Times New Roman" w:cs="Times New Roman"/>
        </w:rPr>
      </w:pPr>
      <w:r w:rsidRPr="00661C0A">
        <w:rPr>
          <w:rFonts w:ascii="Times New Roman" w:eastAsia="Calibri" w:hAnsi="Times New Roman" w:cs="Times New Roman"/>
        </w:rPr>
        <w:t xml:space="preserve">U članku 20. Zakona navedeni su slučajevi kad se sredstva pomoći za ublažavanje i djelomično uklanjanje posljedica prirodnih nepogoda </w:t>
      </w:r>
      <w:r w:rsidRPr="00661C0A">
        <w:rPr>
          <w:rFonts w:ascii="Times New Roman" w:eastAsia="Calibri" w:hAnsi="Times New Roman" w:cs="Times New Roman"/>
          <w:b/>
          <w:bCs/>
        </w:rPr>
        <w:t>ne</w:t>
      </w:r>
      <w:r w:rsidRPr="00661C0A">
        <w:rPr>
          <w:rFonts w:ascii="Times New Roman" w:eastAsia="Calibri" w:hAnsi="Times New Roman" w:cs="Times New Roman"/>
        </w:rPr>
        <w:t xml:space="preserve"> dodjeljuju. </w:t>
      </w:r>
    </w:p>
    <w:p w14:paraId="59658D05" w14:textId="77777777" w:rsidR="00E732EF" w:rsidRPr="00661C0A" w:rsidRDefault="00E732EF" w:rsidP="00E732EF">
      <w:pPr>
        <w:spacing w:after="0" w:line="240" w:lineRule="auto"/>
        <w:jc w:val="both"/>
        <w:rPr>
          <w:rFonts w:ascii="Times New Roman" w:eastAsia="Calibri" w:hAnsi="Times New Roman" w:cs="Times New Roman"/>
        </w:rPr>
      </w:pPr>
      <w:r w:rsidRPr="00661C0A">
        <w:rPr>
          <w:rFonts w:ascii="Times New Roman" w:eastAsia="Calibri" w:hAnsi="Times New Roman" w:cs="Times New Roman"/>
        </w:rPr>
        <w:lastRenderedPageBreak/>
        <w:t>Općinsko povjerenstvo putem Registra šteta podnosi županijskom povjerenstvu Izvješće o utrošku sredstava za ublažavanje i djelomično uklanjanje posljedica prirodnih nepogoda dodijeljenih iz državnog proračuna Republike Hrvatske. Uz Izvješće o utrošku sredstava za ublažavanje i djelomično uklanjanje posljedica prirodnih nepogoda, općinsko povjerenstvo dostavlja županijskom povjerenstvu i druge podatke u pisanom i/ili elektroničkom obliku koji osobito uključuju obrazloženja koja se odnose na utrošak i namjensko korištenje novčanih sredstava dodijeljenih iz državnog proračuna Republike Hrvatske, uključujući i izvore sredstava iz fondova Europske unije. Županijsko povjerenstvo na temelju prikupljenih podataka i izvješća podnosi Državnom izvješće o utrošku dodijeljenih sredstava za ublažavanje i djelomično uklanjanje posljedica prirodnih nepogoda sa stavke za prirodne nepogode u državnom proračunu Republike Hrvatske, putem Registra šteta i pisanim putem. U izvješću županijskog povjerenstva navode se sredstva koja se za tu štetu dodjeljuju na razini županije, grada ili općine, kao i sredstva za naknadu štete iz drugih izvora. Na temelju tih izvješća Državno povjerenstvo izrađuje skupno izvješće o utrošku dodijeljenih sredstava sa stavke za prirodne nepogode u državnom proračunu Republike Hrvatske, koji dostavlja Vladi Republike Hrvatske.</w:t>
      </w:r>
    </w:p>
    <w:p w14:paraId="27DFDB33" w14:textId="77777777" w:rsidR="00E732EF" w:rsidRPr="00661C0A" w:rsidRDefault="00E732EF" w:rsidP="00E732EF">
      <w:pPr>
        <w:spacing w:after="0" w:line="240" w:lineRule="auto"/>
        <w:rPr>
          <w:rFonts w:ascii="Calibri" w:eastAsia="Calibri" w:hAnsi="Calibri" w:cs="Times New Roman"/>
        </w:rPr>
      </w:pPr>
    </w:p>
    <w:p w14:paraId="51E8F9F6" w14:textId="77777777" w:rsidR="00E732EF" w:rsidRPr="00E732EF" w:rsidRDefault="00E732EF" w:rsidP="00E732EF">
      <w:pPr>
        <w:jc w:val="both"/>
        <w:rPr>
          <w:rFonts w:ascii="Times New Roman" w:eastAsia="Calibri" w:hAnsi="Times New Roman" w:cs="Times New Roman"/>
          <w:b/>
          <w:bCs/>
        </w:rPr>
      </w:pPr>
      <w:r w:rsidRPr="00E732EF">
        <w:rPr>
          <w:rFonts w:ascii="Times New Roman" w:eastAsia="Calibri" w:hAnsi="Times New Roman" w:cs="Times New Roman"/>
          <w:b/>
          <w:bCs/>
        </w:rPr>
        <w:t xml:space="preserve">Općinsko (gradsko) i stručno povjerenstvo  </w:t>
      </w:r>
    </w:p>
    <w:p w14:paraId="72934FFE" w14:textId="43908AA9" w:rsidR="00E732EF" w:rsidRDefault="00E732EF" w:rsidP="00394D03">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Sukladno Zakonu poslove u vezi s procjenom štete i dodjele sredstava pomoći za ublažavanje i djelomično uklanjanje posljedica prirodnih nepogoda obavljaju povjerenstva. Predstavnička tijela županija i JLS dužna su imenovati povjerenstva za procjenu štete. Odluka o imenovanju županijskih povjerenstava dostavlja se Državnom povjerenstvu, a odluka o imenovanju općinskog/gradskog povjerenstva dostavlja se županijskom povjerenstvu. </w:t>
      </w:r>
    </w:p>
    <w:p w14:paraId="580C847B" w14:textId="77777777" w:rsidR="00394D03" w:rsidRPr="00394D03" w:rsidRDefault="00394D03" w:rsidP="00394D03">
      <w:pPr>
        <w:spacing w:after="0" w:line="240" w:lineRule="auto"/>
        <w:jc w:val="both"/>
        <w:rPr>
          <w:rFonts w:ascii="Times New Roman" w:eastAsia="Calibri" w:hAnsi="Times New Roman" w:cs="Times New Roman"/>
        </w:rPr>
      </w:pPr>
    </w:p>
    <w:p w14:paraId="1870CA12" w14:textId="77777777" w:rsidR="00E732EF" w:rsidRPr="00E732EF" w:rsidRDefault="00E732EF" w:rsidP="00E732EF">
      <w:pPr>
        <w:jc w:val="both"/>
        <w:rPr>
          <w:rFonts w:ascii="Times New Roman" w:eastAsia="Calibri" w:hAnsi="Times New Roman" w:cs="Times New Roman"/>
          <w:u w:val="single"/>
        </w:rPr>
      </w:pPr>
      <w:r w:rsidRPr="00E732EF">
        <w:rPr>
          <w:rFonts w:ascii="Times New Roman" w:eastAsia="Calibri" w:hAnsi="Times New Roman" w:cs="Times New Roman"/>
          <w:u w:val="single"/>
        </w:rPr>
        <w:t xml:space="preserve">Općinska (i gradska) povjerenstva obavljaju sljedeće poslove: </w:t>
      </w:r>
    </w:p>
    <w:p w14:paraId="3A04E5B0" w14:textId="77777777" w:rsidR="00E732EF" w:rsidRPr="00E732EF" w:rsidRDefault="00E732EF" w:rsidP="00E732EF">
      <w:pPr>
        <w:numPr>
          <w:ilvl w:val="1"/>
          <w:numId w:val="39"/>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utvrđuju i provjeravaju visinu štete od prirodne nepogode za područje Općine,</w:t>
      </w:r>
    </w:p>
    <w:p w14:paraId="68EC5FE9" w14:textId="77777777" w:rsidR="00E732EF" w:rsidRPr="00E732EF" w:rsidRDefault="00E732EF" w:rsidP="00E732EF">
      <w:pPr>
        <w:numPr>
          <w:ilvl w:val="1"/>
          <w:numId w:val="39"/>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unose podatke o prvim procjenama šteta u Registar šteta, </w:t>
      </w:r>
    </w:p>
    <w:p w14:paraId="4F2858B7" w14:textId="77777777" w:rsidR="00E732EF" w:rsidRPr="00E732EF" w:rsidRDefault="00E732EF" w:rsidP="00E732EF">
      <w:pPr>
        <w:numPr>
          <w:ilvl w:val="1"/>
          <w:numId w:val="39"/>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unose i prosljeđuju putem Registra šteta konačne procjene šteta županijskom povjerenstvu, </w:t>
      </w:r>
    </w:p>
    <w:p w14:paraId="59E053F9" w14:textId="77777777" w:rsidR="00E732EF" w:rsidRPr="00E732EF" w:rsidRDefault="00E732EF" w:rsidP="00E732EF">
      <w:pPr>
        <w:numPr>
          <w:ilvl w:val="1"/>
          <w:numId w:val="39"/>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raspoređuju dodijeljena sredstva pomoći za ublažavanje i djelomično uklanjanje posljedica prirodnih nepogoda oštećenicima, </w:t>
      </w:r>
    </w:p>
    <w:p w14:paraId="0E025C17" w14:textId="77777777" w:rsidR="00E732EF" w:rsidRPr="00E732EF" w:rsidRDefault="00E732EF" w:rsidP="00E732EF">
      <w:pPr>
        <w:numPr>
          <w:ilvl w:val="1"/>
          <w:numId w:val="39"/>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prate i nadziru namjensko korištenje odobrenih sredstava pomoći za djelomičnu sanaciju šteta od prirodnih nepogoda prema Zakonu, izrađuju izvješća o utrošku dodijeljenih sredstava žurne pomoći i sredstava pomoći za ublažavanje i djelomično uklanjanje posljedica prirodnih nepogoda i dostavljaju ih županijskom povjerenstvu putem Registra šteta, </w:t>
      </w:r>
    </w:p>
    <w:p w14:paraId="0B938FA9" w14:textId="77777777" w:rsidR="00E732EF" w:rsidRPr="00E732EF" w:rsidRDefault="00E732EF" w:rsidP="00E732EF">
      <w:pPr>
        <w:numPr>
          <w:ilvl w:val="1"/>
          <w:numId w:val="39"/>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surađuju sa županijskim povjerenstvom u provedbi Zakona, </w:t>
      </w:r>
    </w:p>
    <w:p w14:paraId="36FB0DCD" w14:textId="77777777" w:rsidR="00E732EF" w:rsidRPr="00E732EF" w:rsidRDefault="00E732EF" w:rsidP="00E732EF">
      <w:pPr>
        <w:numPr>
          <w:ilvl w:val="1"/>
          <w:numId w:val="39"/>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donose </w:t>
      </w:r>
      <w:r w:rsidRPr="00E732EF">
        <w:rPr>
          <w:rFonts w:ascii="Times New Roman" w:eastAsia="Calibri" w:hAnsi="Times New Roman" w:cs="Times New Roman"/>
          <w:u w:val="single"/>
        </w:rPr>
        <w:t>Plan djelovanja u području prirodnih nepogoda iz svoje nadležnosti</w:t>
      </w:r>
      <w:r w:rsidRPr="00E732EF">
        <w:rPr>
          <w:rFonts w:ascii="Times New Roman" w:eastAsia="Calibri" w:hAnsi="Times New Roman" w:cs="Times New Roman"/>
        </w:rPr>
        <w:t xml:space="preserve">, </w:t>
      </w:r>
    </w:p>
    <w:p w14:paraId="584D4F48" w14:textId="77777777" w:rsidR="00E732EF" w:rsidRPr="00E732EF" w:rsidRDefault="00E732EF" w:rsidP="00E732EF">
      <w:pPr>
        <w:numPr>
          <w:ilvl w:val="1"/>
          <w:numId w:val="39"/>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obavljaju druge poslove i aktivnosti iz svojeg djelokruga u suradnji sa županijskim povjerenstvima. </w:t>
      </w:r>
    </w:p>
    <w:p w14:paraId="28E766E2" w14:textId="77777777" w:rsidR="00E732EF" w:rsidRPr="00E732EF" w:rsidRDefault="00E732EF" w:rsidP="00E732EF">
      <w:pPr>
        <w:spacing w:after="0" w:line="240" w:lineRule="auto"/>
        <w:rPr>
          <w:rFonts w:ascii="Calibri" w:eastAsia="Calibri" w:hAnsi="Calibri" w:cs="Times New Roman"/>
        </w:rPr>
      </w:pPr>
    </w:p>
    <w:p w14:paraId="5062AAE4"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Sukladno članku 15. Zakona, kada gradsko povjerenstvo nije u mogućnosti, zbog nedostatka specifičnih stručnih znanja, procijeniti štetu od prirodnih nepogoda, može zatražiti od županijskog povjerenstva imenovanje stručnog povjerenstva na području u kojem je proglašena prirodna nepogoda. </w:t>
      </w:r>
    </w:p>
    <w:p w14:paraId="7442CEE8" w14:textId="77777777" w:rsidR="00E732EF" w:rsidRPr="00E732EF" w:rsidRDefault="00E732EF" w:rsidP="00E732EF">
      <w:pPr>
        <w:spacing w:after="0" w:line="240" w:lineRule="auto"/>
        <w:jc w:val="both"/>
        <w:rPr>
          <w:rFonts w:ascii="Times New Roman" w:eastAsia="Calibri" w:hAnsi="Times New Roman" w:cs="Times New Roman"/>
          <w:b/>
          <w:bCs/>
        </w:rPr>
      </w:pPr>
    </w:p>
    <w:p w14:paraId="42089191"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b/>
          <w:bCs/>
        </w:rPr>
        <w:t>Stručna povjerenstva</w:t>
      </w:r>
      <w:r w:rsidRPr="00E732EF">
        <w:rPr>
          <w:rFonts w:ascii="Times New Roman" w:eastAsia="Calibri" w:hAnsi="Times New Roman" w:cs="Times New Roman"/>
        </w:rPr>
        <w:t xml:space="preserve"> pružaju stručnu pomoć općini (gradu) u roku u kojem su imenovana i surađuju s općinskim/gradskim povjerenstvom i županijskim povjerenstvom.</w:t>
      </w:r>
    </w:p>
    <w:p w14:paraId="5DC5481B" w14:textId="77777777" w:rsidR="00E732EF" w:rsidRPr="00E732EF" w:rsidRDefault="00E732EF" w:rsidP="00E732EF">
      <w:pPr>
        <w:spacing w:after="0" w:line="240" w:lineRule="auto"/>
        <w:jc w:val="both"/>
        <w:rPr>
          <w:rFonts w:ascii="Times New Roman" w:eastAsia="Calibri" w:hAnsi="Times New Roman" w:cs="Times New Roman"/>
        </w:rPr>
      </w:pPr>
    </w:p>
    <w:p w14:paraId="746C2B3E" w14:textId="77777777" w:rsidR="00E732EF" w:rsidRPr="00E732EF" w:rsidRDefault="00E732EF" w:rsidP="00E732EF">
      <w:pPr>
        <w:spacing w:after="0" w:line="240" w:lineRule="auto"/>
        <w:jc w:val="both"/>
        <w:rPr>
          <w:rFonts w:ascii="Times New Roman" w:eastAsia="Calibri" w:hAnsi="Times New Roman" w:cs="Times New Roman"/>
        </w:rPr>
      </w:pPr>
    </w:p>
    <w:p w14:paraId="74C3D7E4" w14:textId="77777777" w:rsidR="00E732EF" w:rsidRDefault="00E732EF" w:rsidP="00E732EF">
      <w:pPr>
        <w:spacing w:after="0" w:line="240" w:lineRule="auto"/>
        <w:jc w:val="both"/>
        <w:rPr>
          <w:rFonts w:ascii="Times New Roman" w:eastAsia="Calibri" w:hAnsi="Times New Roman" w:cs="Times New Roman"/>
        </w:rPr>
      </w:pPr>
    </w:p>
    <w:p w14:paraId="76D74271" w14:textId="77777777" w:rsidR="00394D03" w:rsidRDefault="00394D03" w:rsidP="00E732EF">
      <w:pPr>
        <w:spacing w:after="0" w:line="240" w:lineRule="auto"/>
        <w:jc w:val="both"/>
        <w:rPr>
          <w:rFonts w:ascii="Times New Roman" w:eastAsia="Calibri" w:hAnsi="Times New Roman" w:cs="Times New Roman"/>
        </w:rPr>
      </w:pPr>
    </w:p>
    <w:p w14:paraId="5DE5831A" w14:textId="77777777" w:rsidR="00394D03" w:rsidRDefault="00394D03" w:rsidP="00E732EF">
      <w:pPr>
        <w:spacing w:after="0" w:line="240" w:lineRule="auto"/>
        <w:jc w:val="both"/>
        <w:rPr>
          <w:rFonts w:ascii="Times New Roman" w:eastAsia="Calibri" w:hAnsi="Times New Roman" w:cs="Times New Roman"/>
        </w:rPr>
      </w:pPr>
    </w:p>
    <w:p w14:paraId="56D644A5" w14:textId="77777777" w:rsidR="00394D03" w:rsidRDefault="00394D03" w:rsidP="00E732EF">
      <w:pPr>
        <w:spacing w:after="0" w:line="240" w:lineRule="auto"/>
        <w:jc w:val="both"/>
        <w:rPr>
          <w:rFonts w:ascii="Times New Roman" w:eastAsia="Calibri" w:hAnsi="Times New Roman" w:cs="Times New Roman"/>
        </w:rPr>
      </w:pPr>
    </w:p>
    <w:p w14:paraId="26B0AE38" w14:textId="77777777" w:rsidR="00394D03" w:rsidRPr="00E732EF" w:rsidRDefault="00394D03" w:rsidP="00E732EF">
      <w:pPr>
        <w:spacing w:after="0" w:line="240" w:lineRule="auto"/>
        <w:jc w:val="both"/>
        <w:rPr>
          <w:rFonts w:ascii="Times New Roman" w:eastAsia="Calibri" w:hAnsi="Times New Roman" w:cs="Times New Roman"/>
        </w:rPr>
      </w:pPr>
    </w:p>
    <w:p w14:paraId="183E3519" w14:textId="77777777" w:rsidR="00E732EF" w:rsidRPr="00E732EF" w:rsidRDefault="00E732EF" w:rsidP="00E732EF">
      <w:pPr>
        <w:jc w:val="center"/>
        <w:rPr>
          <w:rFonts w:ascii="Times New Roman" w:eastAsia="Calibri" w:hAnsi="Times New Roman" w:cs="Times New Roman"/>
          <w:b/>
          <w:bCs/>
        </w:rPr>
      </w:pPr>
      <w:r w:rsidRPr="00E732EF">
        <w:rPr>
          <w:rFonts w:ascii="Times New Roman" w:eastAsia="Calibri" w:hAnsi="Times New Roman" w:cs="Times New Roman"/>
          <w:b/>
          <w:bCs/>
        </w:rPr>
        <w:lastRenderedPageBreak/>
        <w:t>Mjere po vrstama prirodnih nepogoda u Općini Sveti Juraj na Bregu</w:t>
      </w:r>
    </w:p>
    <w:p w14:paraId="2587CFE2" w14:textId="77777777" w:rsidR="00E732EF" w:rsidRPr="00E732EF" w:rsidRDefault="00E732EF" w:rsidP="00E732EF">
      <w:pPr>
        <w:spacing w:after="0" w:line="240" w:lineRule="auto"/>
        <w:rPr>
          <w:rFonts w:ascii="Calibri" w:eastAsia="Calibri" w:hAnsi="Calibri" w:cs="Times New Roman"/>
        </w:rPr>
      </w:pPr>
    </w:p>
    <w:p w14:paraId="663ED5BC"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 2.1.1.</w:t>
      </w:r>
      <w:r w:rsidRPr="00E732EF">
        <w:rPr>
          <w:rFonts w:ascii="Times New Roman" w:eastAsia="Calibri" w:hAnsi="Times New Roman" w:cs="Times New Roman"/>
          <w:b/>
          <w:bCs/>
        </w:rPr>
        <w:t xml:space="preserve"> SUŠA</w:t>
      </w:r>
      <w:r w:rsidRPr="00E732EF">
        <w:rPr>
          <w:rFonts w:ascii="Times New Roman" w:eastAsia="Calibri" w:hAnsi="Times New Roman" w:cs="Times New Roman"/>
        </w:rPr>
        <w:t xml:space="preserve"> </w:t>
      </w:r>
    </w:p>
    <w:p w14:paraId="139A75D3"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Meteorološka suša ili dulje razdoblje bez oborine može uzrokovati ozbiljne štete u poljodjelstvu, vodoprivredi te u drugim gospodarskim djelatnostima. Suša je često posljedica nailaska i duljeg zadržavanja anticiklone nad nekim područjem, kada uslijedi veća potražnja za vodom od opskrbe. Opskrba vodom je definirana meteorološkim uvjetima, a potražnja uključuje eko-sustave i ljudske aktivnosti. Za poljodjelstvo mogu biti opasne suše koje nastanu u vegetacijskom razdoblju dok ljetne suše na Jadranu pogoduju širenju šumskih požara. Nedostatak oborina u duljem vremenskom razdoblju može, s određenim faznim pomakom, uzrokovati i hidrološku sušu koja se očituje smanjenjem površinskih i dubinskih zaliha vode. U ovoj studiji za ocjenu ugroženosti od suše analizirani su dani bez oborine definirani kao dani u kojima nema oborine ili padne manje od 0.1 mm oborine.</w:t>
      </w:r>
    </w:p>
    <w:p w14:paraId="27A6E20A"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Za prikaz godišnjeg hoda broja dana bez oborine na području Međimurske županije i Općine Sveti Juraj na Bregu analizirani su podaci s klimatološke postaje Čakovec (Nedelišće). U tablici su prikazani srednji mjesečni i godišnji broj dana bez oborine s pripadnim standardnim devijacijama, te maksimalni i minimalni mjesečni i godišnji broj dana bez oborine u razdoblju 1981–2000.</w:t>
      </w:r>
    </w:p>
    <w:p w14:paraId="483A70ED"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Na području Općine Sveti Juraj na Bregu u prosjeku godišnje ima oko 247 dana bez oborine. Prosječno odstupanje od te srednje vrijednosti, izraženo standardnom devijacijom, je oko 16 dana. Tijekom godine najviše bezoborinskih dana u prosjeku ima siječanj (oko 24 dana), dok ih je najmanje u lipnju (oko 17 dana). Vrijednost standardne devijacije najveća je u rujnu i studenom (oko pet dana), tj. srednji mjesečni broj dana bez oborine u tim mjesecima se od godine do godine nešto više razlikuje nego u drugim mjesecima u kojima standardna devijacija iznosi tri ili četiri dana.</w:t>
      </w:r>
    </w:p>
    <w:p w14:paraId="050AFF08"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 analiziranom 20-godišnjem razdoblju na području Općine najveći broj dana bez oborine najčešće je bio u siječnju (30% slučajeva) te u kolovozu i listopadu (15% slučajeva). Najsušniji mjeseci u razmatranom razdoblju bili su srpanj i kolovoz 1985. godine koji su bili potpuno bez oborine. U analiziranom razdoblju najmanje dana bez oborine najčešće bilo je u lipnju (24% slučajeva) te u rujnu i studenom (18% slučajeva). Najmanje bezoborinskih dana bilo je u rujnu 1996. godine kada je bilo 9 takvih dana.</w:t>
      </w:r>
    </w:p>
    <w:p w14:paraId="11E67B99"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S obzirom da su u Međimurskoj županiji male prostorne varijacije nadmorske visine, opisana razdioba srednjeg broja dana bez oborine na području Općine Sveti Juraj </w:t>
      </w:r>
      <w:r w:rsidR="00235E05">
        <w:rPr>
          <w:rFonts w:ascii="Times New Roman" w:eastAsia="Calibri" w:hAnsi="Times New Roman" w:cs="Times New Roman"/>
        </w:rPr>
        <w:t>na Bre</w:t>
      </w:r>
      <w:r w:rsidRPr="00E732EF">
        <w:rPr>
          <w:rFonts w:ascii="Times New Roman" w:eastAsia="Calibri" w:hAnsi="Times New Roman" w:cs="Times New Roman"/>
        </w:rPr>
        <w:t>gu i Čakovca može se očekivati i na prostoru cijele županije. Najmanji rizik za pojavu suše ob</w:t>
      </w:r>
      <w:r w:rsidR="00235E05">
        <w:rPr>
          <w:rFonts w:ascii="Times New Roman" w:eastAsia="Calibri" w:hAnsi="Times New Roman" w:cs="Times New Roman"/>
        </w:rPr>
        <w:t>zirom na učestalost bezoborinski</w:t>
      </w:r>
      <w:r w:rsidRPr="00E732EF">
        <w:rPr>
          <w:rFonts w:ascii="Times New Roman" w:eastAsia="Calibri" w:hAnsi="Times New Roman" w:cs="Times New Roman"/>
        </w:rPr>
        <w:t>h dana je od travnja do lipnja.</w:t>
      </w:r>
    </w:p>
    <w:p w14:paraId="52205E12" w14:textId="77777777" w:rsidR="00E732EF" w:rsidRPr="00E732EF" w:rsidRDefault="00E732EF" w:rsidP="00E732EF">
      <w:pPr>
        <w:spacing w:after="0" w:line="240" w:lineRule="auto"/>
        <w:jc w:val="both"/>
        <w:rPr>
          <w:rFonts w:ascii="Times New Roman" w:eastAsia="Calibri" w:hAnsi="Times New Roman" w:cs="Times New Roman"/>
        </w:rPr>
      </w:pPr>
    </w:p>
    <w:p w14:paraId="3EC5A8F0"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Slika 1: Karta izohijeta Međimurske županije i Općine Sveti Juraj na Bregu, 60-godišnji period</w:t>
      </w:r>
    </w:p>
    <w:p w14:paraId="3FEED535" w14:textId="77777777" w:rsidR="00E732EF" w:rsidRPr="00E732EF" w:rsidRDefault="00E732EF" w:rsidP="00E732EF">
      <w:pPr>
        <w:spacing w:after="0" w:line="240" w:lineRule="auto"/>
        <w:jc w:val="both"/>
        <w:rPr>
          <w:rFonts w:ascii="Arial" w:eastAsia="Calibri" w:hAnsi="Arial" w:cs="Times New Roman"/>
          <w:noProof/>
          <w:lang w:eastAsia="hr-HR"/>
        </w:rPr>
      </w:pPr>
      <w:r>
        <w:rPr>
          <w:rFonts w:ascii="Times New Roman" w:eastAsia="Calibri" w:hAnsi="Times New Roman" w:cs="Times New Roman"/>
          <w:noProof/>
          <w:lang w:eastAsia="hr-HR"/>
        </w:rPr>
        <w:drawing>
          <wp:inline distT="0" distB="0" distL="0" distR="0" wp14:anchorId="361ED33D" wp14:editId="32C43150">
            <wp:extent cx="5391785" cy="2536190"/>
            <wp:effectExtent l="0" t="0" r="0" b="0"/>
            <wp:docPr id="18" name="Slika 18" descr="w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ww"/>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91785" cy="2536190"/>
                    </a:xfrm>
                    <a:prstGeom prst="rect">
                      <a:avLst/>
                    </a:prstGeom>
                    <a:noFill/>
                    <a:ln>
                      <a:noFill/>
                    </a:ln>
                  </pic:spPr>
                </pic:pic>
              </a:graphicData>
            </a:graphic>
          </wp:inline>
        </w:drawing>
      </w:r>
    </w:p>
    <w:p w14:paraId="487619CF"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Izvor podataka: DHMZ i meteorološka podloga dostavljena DUZS</w:t>
      </w:r>
    </w:p>
    <w:p w14:paraId="75C905F1" w14:textId="77777777" w:rsidR="00E732EF" w:rsidRPr="00E732EF" w:rsidRDefault="00E732EF" w:rsidP="00E732EF">
      <w:pPr>
        <w:spacing w:after="0" w:line="240" w:lineRule="auto"/>
        <w:jc w:val="both"/>
        <w:rPr>
          <w:rFonts w:ascii="Times New Roman" w:eastAsia="Calibri" w:hAnsi="Times New Roman" w:cs="Times New Roman"/>
        </w:rPr>
      </w:pPr>
    </w:p>
    <w:p w14:paraId="3BF5F665"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lastRenderedPageBreak/>
        <w:t xml:space="preserve">Prostornu raspodjelu srednje godišnje količine oborine u Međimurskoj županiji obilježavaju količine oborine između 800 i 900 mm u njenom pretežito nizinskom dijelu na visinama 100-300 m. U još nižem području uz Muru (100-200 m) količine su od 700-800 mm. Samo zapadni, brdovitiji dio (200-400 m) županije bilježi veće količine oborine od 900-1000 mm, a zbog visine terena mogu se očekivati i količine veće od 1000 mm. </w:t>
      </w:r>
    </w:p>
    <w:p w14:paraId="65FA66AB" w14:textId="77777777" w:rsidR="00E732EF" w:rsidRPr="00E732EF" w:rsidRDefault="00E732EF" w:rsidP="00E732EF">
      <w:pPr>
        <w:spacing w:after="0" w:line="240" w:lineRule="auto"/>
        <w:jc w:val="both"/>
        <w:rPr>
          <w:rFonts w:ascii="Times New Roman" w:eastAsia="Calibri" w:hAnsi="Times New Roman" w:cs="Times New Roman"/>
        </w:rPr>
      </w:pPr>
    </w:p>
    <w:p w14:paraId="52419020"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Tablica : Godišnji hod odabranih meteoroloških parametara, Općina 1981</w:t>
      </w:r>
      <w:r w:rsidRPr="00E732EF">
        <w:rPr>
          <w:rFonts w:ascii="Times New Roman" w:eastAsia="Calibri" w:hAnsi="Times New Roman" w:cs="Times New Roman"/>
        </w:rPr>
        <w:sym w:font="Symbol" w:char="F02D"/>
      </w:r>
      <w:r w:rsidRPr="00E732EF">
        <w:rPr>
          <w:rFonts w:ascii="Times New Roman" w:eastAsia="Calibri" w:hAnsi="Times New Roman" w:cs="Times New Roman"/>
        </w:rPr>
        <w:t>2000.</w:t>
      </w:r>
    </w:p>
    <w:tbl>
      <w:tblPr>
        <w:tblW w:w="9246" w:type="dxa"/>
        <w:jc w:val="center"/>
        <w:tblBorders>
          <w:top w:val="single" w:sz="18" w:space="0" w:color="auto"/>
          <w:left w:val="single" w:sz="18" w:space="0" w:color="auto"/>
          <w:bottom w:val="single" w:sz="18" w:space="0" w:color="auto"/>
          <w:right w:val="single" w:sz="18" w:space="0" w:color="auto"/>
        </w:tblBorders>
        <w:tblLayout w:type="fixed"/>
        <w:tblCellMar>
          <w:left w:w="0" w:type="dxa"/>
          <w:right w:w="0" w:type="dxa"/>
        </w:tblCellMar>
        <w:tblLook w:val="0000" w:firstRow="0" w:lastRow="0" w:firstColumn="0" w:lastColumn="0" w:noHBand="0" w:noVBand="0"/>
      </w:tblPr>
      <w:tblGrid>
        <w:gridCol w:w="1021"/>
        <w:gridCol w:w="624"/>
        <w:gridCol w:w="624"/>
        <w:gridCol w:w="624"/>
        <w:gridCol w:w="624"/>
        <w:gridCol w:w="624"/>
        <w:gridCol w:w="624"/>
        <w:gridCol w:w="624"/>
        <w:gridCol w:w="624"/>
        <w:gridCol w:w="624"/>
        <w:gridCol w:w="624"/>
        <w:gridCol w:w="624"/>
        <w:gridCol w:w="624"/>
        <w:gridCol w:w="737"/>
      </w:tblGrid>
      <w:tr w:rsidR="00E732EF" w:rsidRPr="00E732EF" w14:paraId="71866908" w14:textId="77777777" w:rsidTr="00E732EF">
        <w:trPr>
          <w:trHeight w:hRule="exact" w:val="340"/>
          <w:jc w:val="center"/>
        </w:trPr>
        <w:tc>
          <w:tcPr>
            <w:tcW w:w="1021" w:type="dxa"/>
            <w:tcBorders>
              <w:top w:val="double" w:sz="4" w:space="0" w:color="auto"/>
              <w:left w:val="double" w:sz="6" w:space="0" w:color="auto"/>
              <w:bottom w:val="double" w:sz="6" w:space="0" w:color="auto"/>
              <w:right w:val="double" w:sz="4" w:space="0" w:color="auto"/>
            </w:tcBorders>
            <w:vAlign w:val="center"/>
          </w:tcPr>
          <w:p w14:paraId="38430BF1" w14:textId="77777777" w:rsidR="00E732EF" w:rsidRPr="00E732EF" w:rsidRDefault="00E732EF" w:rsidP="00E732EF">
            <w:pPr>
              <w:spacing w:after="0" w:line="240" w:lineRule="auto"/>
              <w:jc w:val="center"/>
              <w:rPr>
                <w:rFonts w:ascii="Arial" w:eastAsia="Times New Roman" w:hAnsi="Arial" w:cs="Arial"/>
                <w:b/>
                <w:sz w:val="18"/>
                <w:szCs w:val="20"/>
              </w:rPr>
            </w:pPr>
            <w:r w:rsidRPr="00E732EF">
              <w:rPr>
                <w:rFonts w:ascii="Arial" w:eastAsia="Times New Roman" w:hAnsi="Arial" w:cs="Arial"/>
                <w:b/>
                <w:sz w:val="18"/>
                <w:szCs w:val="20"/>
              </w:rPr>
              <w:t>MJESECI</w:t>
            </w:r>
          </w:p>
        </w:tc>
        <w:tc>
          <w:tcPr>
            <w:tcW w:w="624" w:type="dxa"/>
            <w:tcBorders>
              <w:top w:val="double" w:sz="4" w:space="0" w:color="auto"/>
              <w:left w:val="nil"/>
              <w:bottom w:val="double" w:sz="6" w:space="0" w:color="auto"/>
              <w:right w:val="single" w:sz="6" w:space="0" w:color="auto"/>
            </w:tcBorders>
            <w:vAlign w:val="center"/>
          </w:tcPr>
          <w:p w14:paraId="7F2E011A" w14:textId="77777777" w:rsidR="00E732EF" w:rsidRPr="00E732EF" w:rsidRDefault="00E732EF" w:rsidP="00E732EF">
            <w:pPr>
              <w:spacing w:after="0" w:line="240" w:lineRule="auto"/>
              <w:jc w:val="center"/>
              <w:rPr>
                <w:rFonts w:ascii="Arial" w:eastAsia="Times New Roman" w:hAnsi="Arial" w:cs="Arial"/>
                <w:b/>
                <w:sz w:val="18"/>
                <w:szCs w:val="20"/>
              </w:rPr>
            </w:pPr>
            <w:r w:rsidRPr="00E732EF">
              <w:rPr>
                <w:rFonts w:ascii="Arial" w:eastAsia="Times New Roman" w:hAnsi="Arial" w:cs="Arial"/>
                <w:b/>
                <w:sz w:val="18"/>
                <w:szCs w:val="20"/>
              </w:rPr>
              <w:t>1</w:t>
            </w:r>
          </w:p>
        </w:tc>
        <w:tc>
          <w:tcPr>
            <w:tcW w:w="624" w:type="dxa"/>
            <w:tcBorders>
              <w:top w:val="double" w:sz="4" w:space="0" w:color="auto"/>
              <w:left w:val="nil"/>
              <w:bottom w:val="double" w:sz="6" w:space="0" w:color="auto"/>
              <w:right w:val="nil"/>
            </w:tcBorders>
            <w:vAlign w:val="center"/>
          </w:tcPr>
          <w:p w14:paraId="22ED3982" w14:textId="77777777" w:rsidR="00E732EF" w:rsidRPr="00E732EF" w:rsidRDefault="00E732EF" w:rsidP="00E732EF">
            <w:pPr>
              <w:spacing w:after="0" w:line="240" w:lineRule="auto"/>
              <w:jc w:val="center"/>
              <w:rPr>
                <w:rFonts w:ascii="Arial" w:eastAsia="Times New Roman" w:hAnsi="Arial" w:cs="Arial"/>
                <w:b/>
                <w:sz w:val="18"/>
                <w:szCs w:val="20"/>
              </w:rPr>
            </w:pPr>
            <w:r w:rsidRPr="00E732EF">
              <w:rPr>
                <w:rFonts w:ascii="Arial" w:eastAsia="Times New Roman" w:hAnsi="Arial" w:cs="Arial"/>
                <w:b/>
                <w:sz w:val="18"/>
                <w:szCs w:val="20"/>
              </w:rPr>
              <w:t>2</w:t>
            </w:r>
          </w:p>
        </w:tc>
        <w:tc>
          <w:tcPr>
            <w:tcW w:w="624" w:type="dxa"/>
            <w:tcBorders>
              <w:top w:val="double" w:sz="4" w:space="0" w:color="auto"/>
              <w:left w:val="single" w:sz="6" w:space="0" w:color="auto"/>
              <w:bottom w:val="double" w:sz="6" w:space="0" w:color="auto"/>
              <w:right w:val="single" w:sz="6" w:space="0" w:color="auto"/>
            </w:tcBorders>
            <w:vAlign w:val="center"/>
          </w:tcPr>
          <w:p w14:paraId="01C3FBD5" w14:textId="77777777" w:rsidR="00E732EF" w:rsidRPr="00E732EF" w:rsidRDefault="00E732EF" w:rsidP="00E732EF">
            <w:pPr>
              <w:spacing w:after="0" w:line="240" w:lineRule="auto"/>
              <w:jc w:val="center"/>
              <w:rPr>
                <w:rFonts w:ascii="Arial" w:eastAsia="Times New Roman" w:hAnsi="Arial" w:cs="Arial"/>
                <w:b/>
                <w:sz w:val="18"/>
                <w:szCs w:val="20"/>
              </w:rPr>
            </w:pPr>
            <w:r w:rsidRPr="00E732EF">
              <w:rPr>
                <w:rFonts w:ascii="Arial" w:eastAsia="Times New Roman" w:hAnsi="Arial" w:cs="Arial"/>
                <w:b/>
                <w:sz w:val="18"/>
                <w:szCs w:val="20"/>
              </w:rPr>
              <w:t>3</w:t>
            </w:r>
          </w:p>
        </w:tc>
        <w:tc>
          <w:tcPr>
            <w:tcW w:w="624" w:type="dxa"/>
            <w:tcBorders>
              <w:top w:val="double" w:sz="4" w:space="0" w:color="auto"/>
              <w:left w:val="nil"/>
              <w:bottom w:val="double" w:sz="6" w:space="0" w:color="auto"/>
              <w:right w:val="nil"/>
            </w:tcBorders>
            <w:vAlign w:val="center"/>
          </w:tcPr>
          <w:p w14:paraId="56A0D86B" w14:textId="77777777" w:rsidR="00E732EF" w:rsidRPr="00E732EF" w:rsidRDefault="00E732EF" w:rsidP="00E732EF">
            <w:pPr>
              <w:spacing w:after="0" w:line="240" w:lineRule="auto"/>
              <w:jc w:val="center"/>
              <w:rPr>
                <w:rFonts w:ascii="Arial" w:eastAsia="Times New Roman" w:hAnsi="Arial" w:cs="Arial"/>
                <w:b/>
                <w:sz w:val="18"/>
                <w:szCs w:val="20"/>
              </w:rPr>
            </w:pPr>
            <w:r w:rsidRPr="00E732EF">
              <w:rPr>
                <w:rFonts w:ascii="Arial" w:eastAsia="Times New Roman" w:hAnsi="Arial" w:cs="Arial"/>
                <w:b/>
                <w:sz w:val="18"/>
                <w:szCs w:val="20"/>
              </w:rPr>
              <w:t>4</w:t>
            </w:r>
          </w:p>
        </w:tc>
        <w:tc>
          <w:tcPr>
            <w:tcW w:w="624" w:type="dxa"/>
            <w:tcBorders>
              <w:top w:val="double" w:sz="4" w:space="0" w:color="auto"/>
              <w:left w:val="single" w:sz="6" w:space="0" w:color="auto"/>
              <w:bottom w:val="double" w:sz="6" w:space="0" w:color="auto"/>
              <w:right w:val="single" w:sz="6" w:space="0" w:color="auto"/>
            </w:tcBorders>
            <w:vAlign w:val="center"/>
          </w:tcPr>
          <w:p w14:paraId="739B69FF" w14:textId="77777777" w:rsidR="00E732EF" w:rsidRPr="00E732EF" w:rsidRDefault="00E732EF" w:rsidP="00E732EF">
            <w:pPr>
              <w:spacing w:after="0" w:line="240" w:lineRule="auto"/>
              <w:jc w:val="center"/>
              <w:rPr>
                <w:rFonts w:ascii="Arial" w:eastAsia="Times New Roman" w:hAnsi="Arial" w:cs="Arial"/>
                <w:b/>
                <w:sz w:val="18"/>
                <w:szCs w:val="20"/>
              </w:rPr>
            </w:pPr>
            <w:r w:rsidRPr="00E732EF">
              <w:rPr>
                <w:rFonts w:ascii="Arial" w:eastAsia="Times New Roman" w:hAnsi="Arial" w:cs="Arial"/>
                <w:b/>
                <w:sz w:val="18"/>
                <w:szCs w:val="20"/>
              </w:rPr>
              <w:t>5</w:t>
            </w:r>
          </w:p>
        </w:tc>
        <w:tc>
          <w:tcPr>
            <w:tcW w:w="624" w:type="dxa"/>
            <w:tcBorders>
              <w:top w:val="double" w:sz="4" w:space="0" w:color="auto"/>
              <w:left w:val="nil"/>
              <w:bottom w:val="double" w:sz="6" w:space="0" w:color="auto"/>
              <w:right w:val="nil"/>
            </w:tcBorders>
            <w:vAlign w:val="center"/>
          </w:tcPr>
          <w:p w14:paraId="2C3E4669" w14:textId="77777777" w:rsidR="00E732EF" w:rsidRPr="00E732EF" w:rsidRDefault="00E732EF" w:rsidP="00E732EF">
            <w:pPr>
              <w:spacing w:after="0" w:line="240" w:lineRule="auto"/>
              <w:jc w:val="center"/>
              <w:rPr>
                <w:rFonts w:ascii="Arial" w:eastAsia="Times New Roman" w:hAnsi="Arial" w:cs="Arial"/>
                <w:b/>
                <w:sz w:val="18"/>
                <w:szCs w:val="20"/>
              </w:rPr>
            </w:pPr>
            <w:r w:rsidRPr="00E732EF">
              <w:rPr>
                <w:rFonts w:ascii="Arial" w:eastAsia="Times New Roman" w:hAnsi="Arial" w:cs="Arial"/>
                <w:b/>
                <w:sz w:val="18"/>
                <w:szCs w:val="20"/>
              </w:rPr>
              <w:t>6</w:t>
            </w:r>
          </w:p>
        </w:tc>
        <w:tc>
          <w:tcPr>
            <w:tcW w:w="624" w:type="dxa"/>
            <w:tcBorders>
              <w:top w:val="double" w:sz="4" w:space="0" w:color="auto"/>
              <w:left w:val="single" w:sz="6" w:space="0" w:color="auto"/>
              <w:bottom w:val="double" w:sz="6" w:space="0" w:color="auto"/>
              <w:right w:val="single" w:sz="6" w:space="0" w:color="auto"/>
            </w:tcBorders>
            <w:vAlign w:val="center"/>
          </w:tcPr>
          <w:p w14:paraId="6C1FFDD6" w14:textId="77777777" w:rsidR="00E732EF" w:rsidRPr="00E732EF" w:rsidRDefault="00E732EF" w:rsidP="00E732EF">
            <w:pPr>
              <w:spacing w:after="0" w:line="240" w:lineRule="auto"/>
              <w:jc w:val="center"/>
              <w:rPr>
                <w:rFonts w:ascii="Arial" w:eastAsia="Times New Roman" w:hAnsi="Arial" w:cs="Arial"/>
                <w:b/>
                <w:sz w:val="18"/>
                <w:szCs w:val="20"/>
              </w:rPr>
            </w:pPr>
            <w:r w:rsidRPr="00E732EF">
              <w:rPr>
                <w:rFonts w:ascii="Arial" w:eastAsia="Times New Roman" w:hAnsi="Arial" w:cs="Arial"/>
                <w:b/>
                <w:sz w:val="18"/>
                <w:szCs w:val="20"/>
              </w:rPr>
              <w:t>7</w:t>
            </w:r>
          </w:p>
        </w:tc>
        <w:tc>
          <w:tcPr>
            <w:tcW w:w="624" w:type="dxa"/>
            <w:tcBorders>
              <w:top w:val="double" w:sz="4" w:space="0" w:color="auto"/>
              <w:left w:val="nil"/>
              <w:bottom w:val="double" w:sz="6" w:space="0" w:color="auto"/>
              <w:right w:val="nil"/>
            </w:tcBorders>
            <w:vAlign w:val="center"/>
          </w:tcPr>
          <w:p w14:paraId="2259F6D3" w14:textId="77777777" w:rsidR="00E732EF" w:rsidRPr="00E732EF" w:rsidRDefault="00E732EF" w:rsidP="00E732EF">
            <w:pPr>
              <w:spacing w:after="0" w:line="240" w:lineRule="auto"/>
              <w:jc w:val="center"/>
              <w:rPr>
                <w:rFonts w:ascii="Arial" w:eastAsia="Times New Roman" w:hAnsi="Arial" w:cs="Arial"/>
                <w:b/>
                <w:sz w:val="18"/>
                <w:szCs w:val="20"/>
              </w:rPr>
            </w:pPr>
            <w:r w:rsidRPr="00E732EF">
              <w:rPr>
                <w:rFonts w:ascii="Arial" w:eastAsia="Times New Roman" w:hAnsi="Arial" w:cs="Arial"/>
                <w:b/>
                <w:sz w:val="18"/>
                <w:szCs w:val="20"/>
              </w:rPr>
              <w:t>8</w:t>
            </w:r>
          </w:p>
        </w:tc>
        <w:tc>
          <w:tcPr>
            <w:tcW w:w="624" w:type="dxa"/>
            <w:tcBorders>
              <w:top w:val="double" w:sz="4" w:space="0" w:color="auto"/>
              <w:left w:val="single" w:sz="6" w:space="0" w:color="auto"/>
              <w:bottom w:val="double" w:sz="6" w:space="0" w:color="auto"/>
              <w:right w:val="single" w:sz="6" w:space="0" w:color="auto"/>
            </w:tcBorders>
            <w:vAlign w:val="center"/>
          </w:tcPr>
          <w:p w14:paraId="705ECEB2" w14:textId="77777777" w:rsidR="00E732EF" w:rsidRPr="00E732EF" w:rsidRDefault="00E732EF" w:rsidP="00E732EF">
            <w:pPr>
              <w:spacing w:after="0" w:line="240" w:lineRule="auto"/>
              <w:jc w:val="center"/>
              <w:rPr>
                <w:rFonts w:ascii="Arial" w:eastAsia="Times New Roman" w:hAnsi="Arial" w:cs="Arial"/>
                <w:b/>
                <w:sz w:val="18"/>
                <w:szCs w:val="20"/>
              </w:rPr>
            </w:pPr>
            <w:r w:rsidRPr="00E732EF">
              <w:rPr>
                <w:rFonts w:ascii="Arial" w:eastAsia="Times New Roman" w:hAnsi="Arial" w:cs="Arial"/>
                <w:b/>
                <w:sz w:val="18"/>
                <w:szCs w:val="20"/>
              </w:rPr>
              <w:t>9</w:t>
            </w:r>
          </w:p>
        </w:tc>
        <w:tc>
          <w:tcPr>
            <w:tcW w:w="624" w:type="dxa"/>
            <w:tcBorders>
              <w:top w:val="double" w:sz="4" w:space="0" w:color="auto"/>
              <w:left w:val="nil"/>
              <w:bottom w:val="double" w:sz="6" w:space="0" w:color="auto"/>
              <w:right w:val="nil"/>
            </w:tcBorders>
            <w:vAlign w:val="center"/>
          </w:tcPr>
          <w:p w14:paraId="002C7EE6" w14:textId="77777777" w:rsidR="00E732EF" w:rsidRPr="00E732EF" w:rsidRDefault="00E732EF" w:rsidP="00E732EF">
            <w:pPr>
              <w:spacing w:after="0" w:line="240" w:lineRule="auto"/>
              <w:jc w:val="center"/>
              <w:rPr>
                <w:rFonts w:ascii="Arial" w:eastAsia="Times New Roman" w:hAnsi="Arial" w:cs="Arial"/>
                <w:b/>
                <w:sz w:val="18"/>
                <w:szCs w:val="20"/>
              </w:rPr>
            </w:pPr>
            <w:r w:rsidRPr="00E732EF">
              <w:rPr>
                <w:rFonts w:ascii="Arial" w:eastAsia="Times New Roman" w:hAnsi="Arial" w:cs="Arial"/>
                <w:b/>
                <w:sz w:val="18"/>
                <w:szCs w:val="20"/>
              </w:rPr>
              <w:t>10</w:t>
            </w:r>
          </w:p>
        </w:tc>
        <w:tc>
          <w:tcPr>
            <w:tcW w:w="624" w:type="dxa"/>
            <w:tcBorders>
              <w:top w:val="double" w:sz="4" w:space="0" w:color="auto"/>
              <w:left w:val="single" w:sz="6" w:space="0" w:color="auto"/>
              <w:bottom w:val="double" w:sz="6" w:space="0" w:color="auto"/>
              <w:right w:val="single" w:sz="6" w:space="0" w:color="auto"/>
            </w:tcBorders>
            <w:vAlign w:val="center"/>
          </w:tcPr>
          <w:p w14:paraId="460CF753" w14:textId="77777777" w:rsidR="00E732EF" w:rsidRPr="00E732EF" w:rsidRDefault="00E732EF" w:rsidP="00E732EF">
            <w:pPr>
              <w:spacing w:after="0" w:line="240" w:lineRule="auto"/>
              <w:jc w:val="center"/>
              <w:rPr>
                <w:rFonts w:ascii="Arial" w:eastAsia="Times New Roman" w:hAnsi="Arial" w:cs="Arial"/>
                <w:b/>
                <w:sz w:val="18"/>
                <w:szCs w:val="20"/>
              </w:rPr>
            </w:pPr>
            <w:r w:rsidRPr="00E732EF">
              <w:rPr>
                <w:rFonts w:ascii="Arial" w:eastAsia="Times New Roman" w:hAnsi="Arial" w:cs="Arial"/>
                <w:b/>
                <w:sz w:val="18"/>
                <w:szCs w:val="20"/>
              </w:rPr>
              <w:t>11</w:t>
            </w:r>
          </w:p>
        </w:tc>
        <w:tc>
          <w:tcPr>
            <w:tcW w:w="624" w:type="dxa"/>
            <w:tcBorders>
              <w:top w:val="double" w:sz="4" w:space="0" w:color="auto"/>
              <w:left w:val="nil"/>
              <w:bottom w:val="double" w:sz="6" w:space="0" w:color="auto"/>
              <w:right w:val="nil"/>
            </w:tcBorders>
            <w:vAlign w:val="center"/>
          </w:tcPr>
          <w:p w14:paraId="7A7906B7" w14:textId="77777777" w:rsidR="00E732EF" w:rsidRPr="00E732EF" w:rsidRDefault="00E732EF" w:rsidP="00E732EF">
            <w:pPr>
              <w:spacing w:after="0" w:line="240" w:lineRule="auto"/>
              <w:jc w:val="center"/>
              <w:rPr>
                <w:rFonts w:ascii="Arial" w:eastAsia="Times New Roman" w:hAnsi="Arial" w:cs="Arial"/>
                <w:b/>
                <w:sz w:val="18"/>
                <w:szCs w:val="20"/>
              </w:rPr>
            </w:pPr>
            <w:r w:rsidRPr="00E732EF">
              <w:rPr>
                <w:rFonts w:ascii="Arial" w:eastAsia="Times New Roman" w:hAnsi="Arial" w:cs="Arial"/>
                <w:b/>
                <w:sz w:val="18"/>
                <w:szCs w:val="20"/>
              </w:rPr>
              <w:t>12</w:t>
            </w:r>
          </w:p>
        </w:tc>
        <w:tc>
          <w:tcPr>
            <w:tcW w:w="737" w:type="dxa"/>
            <w:tcBorders>
              <w:top w:val="double" w:sz="4" w:space="0" w:color="auto"/>
              <w:left w:val="double" w:sz="4" w:space="0" w:color="auto"/>
              <w:bottom w:val="double" w:sz="6" w:space="0" w:color="auto"/>
              <w:right w:val="double" w:sz="6" w:space="0" w:color="auto"/>
            </w:tcBorders>
            <w:vAlign w:val="center"/>
          </w:tcPr>
          <w:p w14:paraId="1003815C" w14:textId="77777777" w:rsidR="00E732EF" w:rsidRPr="00E732EF" w:rsidRDefault="00E732EF" w:rsidP="00E732EF">
            <w:pPr>
              <w:spacing w:after="0" w:line="240" w:lineRule="auto"/>
              <w:jc w:val="center"/>
              <w:rPr>
                <w:rFonts w:ascii="Arial" w:eastAsia="Times New Roman" w:hAnsi="Arial" w:cs="Arial"/>
                <w:b/>
                <w:sz w:val="18"/>
                <w:szCs w:val="20"/>
              </w:rPr>
            </w:pPr>
            <w:r w:rsidRPr="00E732EF">
              <w:rPr>
                <w:rFonts w:ascii="Arial" w:eastAsia="Times New Roman" w:hAnsi="Arial" w:cs="Arial"/>
                <w:b/>
                <w:sz w:val="18"/>
                <w:szCs w:val="20"/>
              </w:rPr>
              <w:t>GOD</w:t>
            </w:r>
          </w:p>
        </w:tc>
      </w:tr>
      <w:tr w:rsidR="00E732EF" w:rsidRPr="00E732EF" w14:paraId="3CD97E60" w14:textId="77777777" w:rsidTr="00E732EF">
        <w:trPr>
          <w:trHeight w:val="249"/>
          <w:jc w:val="center"/>
        </w:trPr>
        <w:tc>
          <w:tcPr>
            <w:tcW w:w="9246" w:type="dxa"/>
            <w:gridSpan w:val="14"/>
            <w:tcBorders>
              <w:top w:val="double" w:sz="6" w:space="0" w:color="auto"/>
              <w:left w:val="double" w:sz="6" w:space="0" w:color="auto"/>
              <w:bottom w:val="single" w:sz="2" w:space="0" w:color="auto"/>
              <w:right w:val="double" w:sz="6" w:space="0" w:color="auto"/>
            </w:tcBorders>
            <w:shd w:val="clear" w:color="auto" w:fill="DBE5F1"/>
            <w:vAlign w:val="center"/>
          </w:tcPr>
          <w:p w14:paraId="4C78441A" w14:textId="77777777" w:rsidR="00E732EF" w:rsidRPr="00E732EF" w:rsidRDefault="00E732EF" w:rsidP="00E732EF">
            <w:pPr>
              <w:spacing w:after="0" w:line="240" w:lineRule="auto"/>
              <w:ind w:right="113"/>
              <w:jc w:val="center"/>
              <w:rPr>
                <w:rFonts w:ascii="Arial" w:eastAsia="Times New Roman" w:hAnsi="Arial" w:cs="Arial"/>
                <w:b/>
                <w:snapToGrid w:val="0"/>
                <w:color w:val="000000"/>
                <w:sz w:val="18"/>
                <w:szCs w:val="20"/>
              </w:rPr>
            </w:pPr>
            <w:r w:rsidRPr="00E732EF">
              <w:rPr>
                <w:rFonts w:ascii="Arial" w:eastAsia="Times New Roman" w:hAnsi="Arial" w:cs="Arial"/>
                <w:b/>
                <w:snapToGrid w:val="0"/>
                <w:color w:val="000000"/>
                <w:sz w:val="18"/>
                <w:szCs w:val="20"/>
              </w:rPr>
              <w:t>BROJ DANA BEZ OBORINE</w:t>
            </w:r>
          </w:p>
        </w:tc>
      </w:tr>
      <w:tr w:rsidR="00E732EF" w:rsidRPr="00E732EF" w14:paraId="49A307D0" w14:textId="77777777" w:rsidTr="00E732EF">
        <w:trPr>
          <w:trHeight w:val="249"/>
          <w:jc w:val="center"/>
        </w:trPr>
        <w:tc>
          <w:tcPr>
            <w:tcW w:w="1021" w:type="dxa"/>
            <w:tcBorders>
              <w:top w:val="double" w:sz="4" w:space="0" w:color="auto"/>
              <w:left w:val="double" w:sz="6" w:space="0" w:color="auto"/>
              <w:bottom w:val="single" w:sz="2" w:space="0" w:color="auto"/>
              <w:right w:val="double" w:sz="4" w:space="0" w:color="auto"/>
            </w:tcBorders>
            <w:vAlign w:val="center"/>
          </w:tcPr>
          <w:p w14:paraId="7ED1F60C" w14:textId="77777777" w:rsidR="00E732EF" w:rsidRPr="00E732EF" w:rsidRDefault="00E732EF" w:rsidP="00E732EF">
            <w:pPr>
              <w:spacing w:after="0" w:line="240" w:lineRule="auto"/>
              <w:ind w:left="113"/>
              <w:rPr>
                <w:rFonts w:ascii="Arial" w:eastAsia="Times New Roman" w:hAnsi="Arial" w:cs="Arial"/>
                <w:b/>
                <w:sz w:val="18"/>
                <w:szCs w:val="20"/>
              </w:rPr>
            </w:pPr>
            <w:r w:rsidRPr="00E732EF">
              <w:rPr>
                <w:rFonts w:ascii="Arial" w:eastAsia="Times New Roman" w:hAnsi="Arial" w:cs="Arial"/>
                <w:b/>
                <w:sz w:val="18"/>
                <w:szCs w:val="20"/>
              </w:rPr>
              <w:t>SRED</w:t>
            </w:r>
          </w:p>
        </w:tc>
        <w:tc>
          <w:tcPr>
            <w:tcW w:w="624" w:type="dxa"/>
            <w:tcBorders>
              <w:top w:val="double" w:sz="4" w:space="0" w:color="auto"/>
              <w:left w:val="nil"/>
              <w:bottom w:val="single" w:sz="2" w:space="0" w:color="auto"/>
              <w:right w:val="single" w:sz="6" w:space="0" w:color="auto"/>
            </w:tcBorders>
            <w:vAlign w:val="bottom"/>
          </w:tcPr>
          <w:p w14:paraId="57D92E02"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24.2</w:t>
            </w:r>
          </w:p>
        </w:tc>
        <w:tc>
          <w:tcPr>
            <w:tcW w:w="624" w:type="dxa"/>
            <w:tcBorders>
              <w:top w:val="double" w:sz="4" w:space="0" w:color="auto"/>
              <w:left w:val="nil"/>
              <w:bottom w:val="single" w:sz="2" w:space="0" w:color="auto"/>
              <w:right w:val="nil"/>
            </w:tcBorders>
            <w:vAlign w:val="bottom"/>
          </w:tcPr>
          <w:p w14:paraId="41C6E21C"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21.4</w:t>
            </w:r>
          </w:p>
        </w:tc>
        <w:tc>
          <w:tcPr>
            <w:tcW w:w="624" w:type="dxa"/>
            <w:tcBorders>
              <w:top w:val="double" w:sz="4" w:space="0" w:color="auto"/>
              <w:left w:val="single" w:sz="6" w:space="0" w:color="auto"/>
              <w:bottom w:val="single" w:sz="2" w:space="0" w:color="auto"/>
              <w:right w:val="single" w:sz="6" w:space="0" w:color="auto"/>
            </w:tcBorders>
            <w:vAlign w:val="bottom"/>
          </w:tcPr>
          <w:p w14:paraId="05DD2EC8"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22.1</w:t>
            </w:r>
          </w:p>
        </w:tc>
        <w:tc>
          <w:tcPr>
            <w:tcW w:w="624" w:type="dxa"/>
            <w:tcBorders>
              <w:top w:val="double" w:sz="4" w:space="0" w:color="auto"/>
              <w:left w:val="nil"/>
              <w:bottom w:val="single" w:sz="2" w:space="0" w:color="auto"/>
              <w:right w:val="nil"/>
            </w:tcBorders>
            <w:vAlign w:val="bottom"/>
          </w:tcPr>
          <w:p w14:paraId="115863A2"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18.4</w:t>
            </w:r>
          </w:p>
        </w:tc>
        <w:tc>
          <w:tcPr>
            <w:tcW w:w="624" w:type="dxa"/>
            <w:tcBorders>
              <w:top w:val="double" w:sz="4" w:space="0" w:color="auto"/>
              <w:left w:val="single" w:sz="6" w:space="0" w:color="auto"/>
              <w:bottom w:val="single" w:sz="2" w:space="0" w:color="auto"/>
              <w:right w:val="single" w:sz="6" w:space="0" w:color="auto"/>
            </w:tcBorders>
            <w:vAlign w:val="bottom"/>
          </w:tcPr>
          <w:p w14:paraId="06F30171"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18.9</w:t>
            </w:r>
          </w:p>
        </w:tc>
        <w:tc>
          <w:tcPr>
            <w:tcW w:w="624" w:type="dxa"/>
            <w:tcBorders>
              <w:top w:val="double" w:sz="4" w:space="0" w:color="auto"/>
              <w:left w:val="nil"/>
              <w:bottom w:val="single" w:sz="2" w:space="0" w:color="auto"/>
              <w:right w:val="nil"/>
            </w:tcBorders>
            <w:vAlign w:val="bottom"/>
          </w:tcPr>
          <w:p w14:paraId="338AF962"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16.7</w:t>
            </w:r>
          </w:p>
        </w:tc>
        <w:tc>
          <w:tcPr>
            <w:tcW w:w="624" w:type="dxa"/>
            <w:tcBorders>
              <w:top w:val="double" w:sz="4" w:space="0" w:color="auto"/>
              <w:left w:val="single" w:sz="6" w:space="0" w:color="auto"/>
              <w:bottom w:val="single" w:sz="2" w:space="0" w:color="auto"/>
              <w:right w:val="single" w:sz="6" w:space="0" w:color="auto"/>
            </w:tcBorders>
            <w:vAlign w:val="bottom"/>
          </w:tcPr>
          <w:p w14:paraId="758DFA51"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21.3</w:t>
            </w:r>
          </w:p>
        </w:tc>
        <w:tc>
          <w:tcPr>
            <w:tcW w:w="624" w:type="dxa"/>
            <w:tcBorders>
              <w:top w:val="double" w:sz="4" w:space="0" w:color="auto"/>
              <w:left w:val="nil"/>
              <w:bottom w:val="single" w:sz="2" w:space="0" w:color="auto"/>
              <w:right w:val="nil"/>
            </w:tcBorders>
            <w:vAlign w:val="bottom"/>
          </w:tcPr>
          <w:p w14:paraId="62C8EDD5"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22.4</w:t>
            </w:r>
          </w:p>
        </w:tc>
        <w:tc>
          <w:tcPr>
            <w:tcW w:w="624" w:type="dxa"/>
            <w:tcBorders>
              <w:top w:val="double" w:sz="4" w:space="0" w:color="auto"/>
              <w:left w:val="single" w:sz="6" w:space="0" w:color="auto"/>
              <w:bottom w:val="single" w:sz="2" w:space="0" w:color="auto"/>
              <w:right w:val="single" w:sz="6" w:space="0" w:color="auto"/>
            </w:tcBorders>
            <w:vAlign w:val="bottom"/>
          </w:tcPr>
          <w:p w14:paraId="515900AF"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19.6</w:t>
            </w:r>
          </w:p>
        </w:tc>
        <w:tc>
          <w:tcPr>
            <w:tcW w:w="624" w:type="dxa"/>
            <w:tcBorders>
              <w:top w:val="double" w:sz="4" w:space="0" w:color="auto"/>
              <w:left w:val="nil"/>
              <w:bottom w:val="single" w:sz="2" w:space="0" w:color="auto"/>
              <w:right w:val="nil"/>
            </w:tcBorders>
            <w:vAlign w:val="bottom"/>
          </w:tcPr>
          <w:p w14:paraId="5E7C2086"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21.8</w:t>
            </w:r>
          </w:p>
        </w:tc>
        <w:tc>
          <w:tcPr>
            <w:tcW w:w="624" w:type="dxa"/>
            <w:tcBorders>
              <w:top w:val="double" w:sz="4" w:space="0" w:color="auto"/>
              <w:left w:val="single" w:sz="6" w:space="0" w:color="auto"/>
              <w:bottom w:val="single" w:sz="2" w:space="0" w:color="auto"/>
              <w:right w:val="single" w:sz="6" w:space="0" w:color="auto"/>
            </w:tcBorders>
            <w:vAlign w:val="bottom"/>
          </w:tcPr>
          <w:p w14:paraId="5AF8A48C"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19.6</w:t>
            </w:r>
          </w:p>
        </w:tc>
        <w:tc>
          <w:tcPr>
            <w:tcW w:w="624" w:type="dxa"/>
            <w:tcBorders>
              <w:top w:val="double" w:sz="4" w:space="0" w:color="auto"/>
              <w:left w:val="nil"/>
              <w:bottom w:val="single" w:sz="2" w:space="0" w:color="auto"/>
              <w:right w:val="nil"/>
            </w:tcBorders>
            <w:vAlign w:val="bottom"/>
          </w:tcPr>
          <w:p w14:paraId="0FCD6FF8"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21.6</w:t>
            </w:r>
          </w:p>
        </w:tc>
        <w:tc>
          <w:tcPr>
            <w:tcW w:w="737" w:type="dxa"/>
            <w:tcBorders>
              <w:top w:val="double" w:sz="4" w:space="0" w:color="auto"/>
              <w:left w:val="double" w:sz="4" w:space="0" w:color="auto"/>
              <w:bottom w:val="single" w:sz="2" w:space="0" w:color="auto"/>
              <w:right w:val="double" w:sz="6" w:space="0" w:color="auto"/>
            </w:tcBorders>
            <w:vAlign w:val="bottom"/>
          </w:tcPr>
          <w:p w14:paraId="574D4027"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247.3</w:t>
            </w:r>
          </w:p>
        </w:tc>
      </w:tr>
      <w:tr w:rsidR="00E732EF" w:rsidRPr="00E732EF" w14:paraId="124875B2" w14:textId="77777777" w:rsidTr="00E732EF">
        <w:trPr>
          <w:trHeight w:val="249"/>
          <w:jc w:val="center"/>
        </w:trPr>
        <w:tc>
          <w:tcPr>
            <w:tcW w:w="1021" w:type="dxa"/>
            <w:tcBorders>
              <w:top w:val="single" w:sz="2" w:space="0" w:color="auto"/>
              <w:left w:val="double" w:sz="6" w:space="0" w:color="auto"/>
              <w:bottom w:val="single" w:sz="2" w:space="0" w:color="auto"/>
              <w:right w:val="double" w:sz="4" w:space="0" w:color="auto"/>
            </w:tcBorders>
            <w:vAlign w:val="center"/>
          </w:tcPr>
          <w:p w14:paraId="0E6F82C5" w14:textId="77777777" w:rsidR="00E732EF" w:rsidRPr="00E732EF" w:rsidRDefault="00E732EF" w:rsidP="00E732EF">
            <w:pPr>
              <w:spacing w:after="0" w:line="240" w:lineRule="auto"/>
              <w:ind w:left="113"/>
              <w:rPr>
                <w:rFonts w:ascii="Arial" w:eastAsia="Times New Roman" w:hAnsi="Arial" w:cs="Arial"/>
                <w:b/>
                <w:sz w:val="18"/>
                <w:szCs w:val="20"/>
              </w:rPr>
            </w:pPr>
            <w:r w:rsidRPr="00E732EF">
              <w:rPr>
                <w:rFonts w:ascii="Arial" w:eastAsia="Times New Roman" w:hAnsi="Arial" w:cs="Arial"/>
                <w:b/>
                <w:sz w:val="18"/>
                <w:szCs w:val="20"/>
              </w:rPr>
              <w:t>STD</w:t>
            </w:r>
          </w:p>
        </w:tc>
        <w:tc>
          <w:tcPr>
            <w:tcW w:w="624" w:type="dxa"/>
            <w:tcBorders>
              <w:top w:val="single" w:sz="2" w:space="0" w:color="auto"/>
              <w:left w:val="nil"/>
              <w:bottom w:val="single" w:sz="2" w:space="0" w:color="auto"/>
              <w:right w:val="single" w:sz="6" w:space="0" w:color="auto"/>
            </w:tcBorders>
            <w:vAlign w:val="bottom"/>
          </w:tcPr>
          <w:p w14:paraId="66F868A0"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3.0</w:t>
            </w:r>
          </w:p>
        </w:tc>
        <w:tc>
          <w:tcPr>
            <w:tcW w:w="624" w:type="dxa"/>
            <w:tcBorders>
              <w:top w:val="single" w:sz="2" w:space="0" w:color="auto"/>
              <w:left w:val="single" w:sz="6" w:space="0" w:color="auto"/>
              <w:bottom w:val="single" w:sz="2" w:space="0" w:color="auto"/>
              <w:right w:val="single" w:sz="6" w:space="0" w:color="auto"/>
            </w:tcBorders>
            <w:vAlign w:val="bottom"/>
          </w:tcPr>
          <w:p w14:paraId="62D2B0A4"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3.1</w:t>
            </w:r>
          </w:p>
        </w:tc>
        <w:tc>
          <w:tcPr>
            <w:tcW w:w="624" w:type="dxa"/>
            <w:tcBorders>
              <w:top w:val="single" w:sz="2" w:space="0" w:color="auto"/>
              <w:left w:val="single" w:sz="6" w:space="0" w:color="auto"/>
              <w:bottom w:val="single" w:sz="2" w:space="0" w:color="auto"/>
              <w:right w:val="single" w:sz="6" w:space="0" w:color="auto"/>
            </w:tcBorders>
            <w:vAlign w:val="bottom"/>
          </w:tcPr>
          <w:p w14:paraId="47CF80B5"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3.5</w:t>
            </w:r>
          </w:p>
        </w:tc>
        <w:tc>
          <w:tcPr>
            <w:tcW w:w="624" w:type="dxa"/>
            <w:tcBorders>
              <w:top w:val="single" w:sz="2" w:space="0" w:color="auto"/>
              <w:left w:val="single" w:sz="6" w:space="0" w:color="auto"/>
              <w:bottom w:val="single" w:sz="2" w:space="0" w:color="auto"/>
              <w:right w:val="single" w:sz="6" w:space="0" w:color="auto"/>
            </w:tcBorders>
            <w:vAlign w:val="bottom"/>
          </w:tcPr>
          <w:p w14:paraId="7E8986A1"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3.1</w:t>
            </w:r>
          </w:p>
        </w:tc>
        <w:tc>
          <w:tcPr>
            <w:tcW w:w="624" w:type="dxa"/>
            <w:tcBorders>
              <w:top w:val="single" w:sz="2" w:space="0" w:color="auto"/>
              <w:left w:val="single" w:sz="6" w:space="0" w:color="auto"/>
              <w:bottom w:val="single" w:sz="2" w:space="0" w:color="auto"/>
              <w:right w:val="single" w:sz="6" w:space="0" w:color="auto"/>
            </w:tcBorders>
            <w:vAlign w:val="bottom"/>
          </w:tcPr>
          <w:p w14:paraId="7CFEB762"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3.0</w:t>
            </w:r>
          </w:p>
        </w:tc>
        <w:tc>
          <w:tcPr>
            <w:tcW w:w="624" w:type="dxa"/>
            <w:tcBorders>
              <w:top w:val="single" w:sz="2" w:space="0" w:color="auto"/>
              <w:left w:val="single" w:sz="6" w:space="0" w:color="auto"/>
              <w:bottom w:val="single" w:sz="2" w:space="0" w:color="auto"/>
              <w:right w:val="single" w:sz="6" w:space="0" w:color="auto"/>
            </w:tcBorders>
            <w:vAlign w:val="bottom"/>
          </w:tcPr>
          <w:p w14:paraId="52CE3631"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3.6</w:t>
            </w:r>
          </w:p>
        </w:tc>
        <w:tc>
          <w:tcPr>
            <w:tcW w:w="624" w:type="dxa"/>
            <w:tcBorders>
              <w:top w:val="single" w:sz="2" w:space="0" w:color="auto"/>
              <w:left w:val="single" w:sz="6" w:space="0" w:color="auto"/>
              <w:bottom w:val="single" w:sz="2" w:space="0" w:color="auto"/>
              <w:right w:val="single" w:sz="6" w:space="0" w:color="auto"/>
            </w:tcBorders>
            <w:vAlign w:val="bottom"/>
          </w:tcPr>
          <w:p w14:paraId="4C01DEED"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3.6</w:t>
            </w:r>
          </w:p>
        </w:tc>
        <w:tc>
          <w:tcPr>
            <w:tcW w:w="624" w:type="dxa"/>
            <w:tcBorders>
              <w:top w:val="single" w:sz="2" w:space="0" w:color="auto"/>
              <w:left w:val="single" w:sz="6" w:space="0" w:color="auto"/>
              <w:bottom w:val="single" w:sz="2" w:space="0" w:color="auto"/>
              <w:right w:val="single" w:sz="6" w:space="0" w:color="auto"/>
            </w:tcBorders>
            <w:vAlign w:val="bottom"/>
          </w:tcPr>
          <w:p w14:paraId="7ED1FDDD"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4.2</w:t>
            </w:r>
          </w:p>
        </w:tc>
        <w:tc>
          <w:tcPr>
            <w:tcW w:w="624" w:type="dxa"/>
            <w:tcBorders>
              <w:top w:val="single" w:sz="2" w:space="0" w:color="auto"/>
              <w:left w:val="single" w:sz="6" w:space="0" w:color="auto"/>
              <w:bottom w:val="single" w:sz="2" w:space="0" w:color="auto"/>
              <w:right w:val="single" w:sz="6" w:space="0" w:color="auto"/>
            </w:tcBorders>
            <w:vAlign w:val="bottom"/>
          </w:tcPr>
          <w:p w14:paraId="59050A55"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4.8</w:t>
            </w:r>
          </w:p>
        </w:tc>
        <w:tc>
          <w:tcPr>
            <w:tcW w:w="624" w:type="dxa"/>
            <w:tcBorders>
              <w:top w:val="single" w:sz="2" w:space="0" w:color="auto"/>
              <w:left w:val="single" w:sz="6" w:space="0" w:color="auto"/>
              <w:bottom w:val="single" w:sz="2" w:space="0" w:color="auto"/>
              <w:right w:val="single" w:sz="6" w:space="0" w:color="auto"/>
            </w:tcBorders>
            <w:vAlign w:val="bottom"/>
          </w:tcPr>
          <w:p w14:paraId="316A533E"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3.8</w:t>
            </w:r>
          </w:p>
        </w:tc>
        <w:tc>
          <w:tcPr>
            <w:tcW w:w="624" w:type="dxa"/>
            <w:tcBorders>
              <w:top w:val="single" w:sz="2" w:space="0" w:color="auto"/>
              <w:left w:val="single" w:sz="6" w:space="0" w:color="auto"/>
              <w:bottom w:val="single" w:sz="2" w:space="0" w:color="auto"/>
              <w:right w:val="single" w:sz="6" w:space="0" w:color="auto"/>
            </w:tcBorders>
            <w:vAlign w:val="bottom"/>
          </w:tcPr>
          <w:p w14:paraId="57084EBC"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5.1</w:t>
            </w:r>
          </w:p>
        </w:tc>
        <w:tc>
          <w:tcPr>
            <w:tcW w:w="624" w:type="dxa"/>
            <w:tcBorders>
              <w:top w:val="single" w:sz="2" w:space="0" w:color="auto"/>
              <w:left w:val="single" w:sz="6" w:space="0" w:color="auto"/>
              <w:bottom w:val="single" w:sz="2" w:space="0" w:color="auto"/>
              <w:right w:val="nil"/>
            </w:tcBorders>
            <w:vAlign w:val="bottom"/>
          </w:tcPr>
          <w:p w14:paraId="74C15AA2"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3.9</w:t>
            </w:r>
          </w:p>
        </w:tc>
        <w:tc>
          <w:tcPr>
            <w:tcW w:w="737" w:type="dxa"/>
            <w:tcBorders>
              <w:top w:val="single" w:sz="2" w:space="0" w:color="auto"/>
              <w:left w:val="double" w:sz="4" w:space="0" w:color="auto"/>
              <w:bottom w:val="single" w:sz="2" w:space="0" w:color="auto"/>
              <w:right w:val="double" w:sz="6" w:space="0" w:color="auto"/>
            </w:tcBorders>
            <w:vAlign w:val="bottom"/>
          </w:tcPr>
          <w:p w14:paraId="38BEFEF9"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16.0</w:t>
            </w:r>
          </w:p>
        </w:tc>
      </w:tr>
      <w:tr w:rsidR="00E732EF" w:rsidRPr="00E732EF" w14:paraId="6BF60B01" w14:textId="77777777" w:rsidTr="00E732EF">
        <w:trPr>
          <w:trHeight w:val="249"/>
          <w:jc w:val="center"/>
        </w:trPr>
        <w:tc>
          <w:tcPr>
            <w:tcW w:w="1021" w:type="dxa"/>
            <w:tcBorders>
              <w:top w:val="single" w:sz="2" w:space="0" w:color="auto"/>
              <w:left w:val="double" w:sz="6" w:space="0" w:color="auto"/>
              <w:bottom w:val="single" w:sz="2" w:space="0" w:color="auto"/>
              <w:right w:val="double" w:sz="4" w:space="0" w:color="auto"/>
            </w:tcBorders>
            <w:vAlign w:val="center"/>
          </w:tcPr>
          <w:p w14:paraId="00D7DBF9" w14:textId="77777777" w:rsidR="00E732EF" w:rsidRPr="00E732EF" w:rsidRDefault="00E732EF" w:rsidP="00E732EF">
            <w:pPr>
              <w:spacing w:after="0" w:line="240" w:lineRule="auto"/>
              <w:ind w:left="113"/>
              <w:rPr>
                <w:rFonts w:ascii="Arial" w:eastAsia="Times New Roman" w:hAnsi="Arial" w:cs="Arial"/>
                <w:b/>
                <w:sz w:val="18"/>
                <w:szCs w:val="20"/>
              </w:rPr>
            </w:pPr>
            <w:r w:rsidRPr="00E732EF">
              <w:rPr>
                <w:rFonts w:ascii="Arial" w:eastAsia="Times New Roman" w:hAnsi="Arial" w:cs="Arial"/>
                <w:b/>
                <w:sz w:val="18"/>
                <w:szCs w:val="20"/>
              </w:rPr>
              <w:t>MIN</w:t>
            </w:r>
          </w:p>
        </w:tc>
        <w:tc>
          <w:tcPr>
            <w:tcW w:w="624" w:type="dxa"/>
            <w:tcBorders>
              <w:top w:val="single" w:sz="2" w:space="0" w:color="auto"/>
              <w:left w:val="nil"/>
              <w:bottom w:val="single" w:sz="2" w:space="0" w:color="auto"/>
              <w:right w:val="single" w:sz="6" w:space="0" w:color="auto"/>
            </w:tcBorders>
            <w:vAlign w:val="bottom"/>
          </w:tcPr>
          <w:p w14:paraId="741E9CAC"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19</w:t>
            </w:r>
          </w:p>
        </w:tc>
        <w:tc>
          <w:tcPr>
            <w:tcW w:w="624" w:type="dxa"/>
            <w:tcBorders>
              <w:top w:val="single" w:sz="2" w:space="0" w:color="auto"/>
              <w:left w:val="single" w:sz="6" w:space="0" w:color="auto"/>
              <w:bottom w:val="single" w:sz="2" w:space="0" w:color="auto"/>
              <w:right w:val="single" w:sz="6" w:space="0" w:color="auto"/>
            </w:tcBorders>
            <w:vAlign w:val="bottom"/>
          </w:tcPr>
          <w:p w14:paraId="556D5BAF"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15</w:t>
            </w:r>
          </w:p>
        </w:tc>
        <w:tc>
          <w:tcPr>
            <w:tcW w:w="624" w:type="dxa"/>
            <w:tcBorders>
              <w:top w:val="single" w:sz="2" w:space="0" w:color="auto"/>
              <w:left w:val="single" w:sz="6" w:space="0" w:color="auto"/>
              <w:bottom w:val="single" w:sz="2" w:space="0" w:color="auto"/>
              <w:right w:val="single" w:sz="6" w:space="0" w:color="auto"/>
            </w:tcBorders>
            <w:vAlign w:val="bottom"/>
          </w:tcPr>
          <w:p w14:paraId="5F632EDA"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13</w:t>
            </w:r>
          </w:p>
        </w:tc>
        <w:tc>
          <w:tcPr>
            <w:tcW w:w="624" w:type="dxa"/>
            <w:tcBorders>
              <w:top w:val="single" w:sz="2" w:space="0" w:color="auto"/>
              <w:left w:val="single" w:sz="6" w:space="0" w:color="auto"/>
              <w:bottom w:val="single" w:sz="2" w:space="0" w:color="auto"/>
              <w:right w:val="single" w:sz="6" w:space="0" w:color="auto"/>
            </w:tcBorders>
            <w:vAlign w:val="bottom"/>
          </w:tcPr>
          <w:p w14:paraId="7B0938B5"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13</w:t>
            </w:r>
          </w:p>
        </w:tc>
        <w:tc>
          <w:tcPr>
            <w:tcW w:w="624" w:type="dxa"/>
            <w:tcBorders>
              <w:top w:val="single" w:sz="2" w:space="0" w:color="auto"/>
              <w:left w:val="single" w:sz="6" w:space="0" w:color="auto"/>
              <w:bottom w:val="single" w:sz="2" w:space="0" w:color="auto"/>
              <w:right w:val="single" w:sz="6" w:space="0" w:color="auto"/>
            </w:tcBorders>
            <w:vAlign w:val="bottom"/>
          </w:tcPr>
          <w:p w14:paraId="2BD17DF4"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14</w:t>
            </w:r>
          </w:p>
        </w:tc>
        <w:tc>
          <w:tcPr>
            <w:tcW w:w="624" w:type="dxa"/>
            <w:tcBorders>
              <w:top w:val="single" w:sz="2" w:space="0" w:color="auto"/>
              <w:left w:val="single" w:sz="6" w:space="0" w:color="auto"/>
              <w:bottom w:val="single" w:sz="2" w:space="0" w:color="auto"/>
              <w:right w:val="single" w:sz="6" w:space="0" w:color="auto"/>
            </w:tcBorders>
            <w:vAlign w:val="bottom"/>
          </w:tcPr>
          <w:p w14:paraId="1ED9B968"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10</w:t>
            </w:r>
          </w:p>
        </w:tc>
        <w:tc>
          <w:tcPr>
            <w:tcW w:w="624" w:type="dxa"/>
            <w:tcBorders>
              <w:top w:val="single" w:sz="2" w:space="0" w:color="auto"/>
              <w:left w:val="single" w:sz="6" w:space="0" w:color="auto"/>
              <w:bottom w:val="single" w:sz="2" w:space="0" w:color="auto"/>
              <w:right w:val="single" w:sz="6" w:space="0" w:color="auto"/>
            </w:tcBorders>
            <w:vAlign w:val="bottom"/>
          </w:tcPr>
          <w:p w14:paraId="21AA945D"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13</w:t>
            </w:r>
          </w:p>
        </w:tc>
        <w:tc>
          <w:tcPr>
            <w:tcW w:w="624" w:type="dxa"/>
            <w:tcBorders>
              <w:top w:val="single" w:sz="2" w:space="0" w:color="auto"/>
              <w:left w:val="single" w:sz="6" w:space="0" w:color="auto"/>
              <w:bottom w:val="single" w:sz="2" w:space="0" w:color="auto"/>
              <w:right w:val="single" w:sz="6" w:space="0" w:color="auto"/>
            </w:tcBorders>
            <w:vAlign w:val="bottom"/>
          </w:tcPr>
          <w:p w14:paraId="280A7580"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16</w:t>
            </w:r>
          </w:p>
        </w:tc>
        <w:tc>
          <w:tcPr>
            <w:tcW w:w="624" w:type="dxa"/>
            <w:tcBorders>
              <w:top w:val="single" w:sz="2" w:space="0" w:color="auto"/>
              <w:left w:val="single" w:sz="6" w:space="0" w:color="auto"/>
              <w:bottom w:val="single" w:sz="2" w:space="0" w:color="auto"/>
              <w:right w:val="single" w:sz="6" w:space="0" w:color="auto"/>
            </w:tcBorders>
            <w:vAlign w:val="bottom"/>
          </w:tcPr>
          <w:p w14:paraId="344A6E71"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9</w:t>
            </w:r>
          </w:p>
        </w:tc>
        <w:tc>
          <w:tcPr>
            <w:tcW w:w="624" w:type="dxa"/>
            <w:tcBorders>
              <w:top w:val="single" w:sz="2" w:space="0" w:color="auto"/>
              <w:left w:val="single" w:sz="6" w:space="0" w:color="auto"/>
              <w:bottom w:val="single" w:sz="2" w:space="0" w:color="auto"/>
              <w:right w:val="single" w:sz="6" w:space="0" w:color="auto"/>
            </w:tcBorders>
            <w:vAlign w:val="bottom"/>
          </w:tcPr>
          <w:p w14:paraId="267BAEB5"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14</w:t>
            </w:r>
          </w:p>
        </w:tc>
        <w:tc>
          <w:tcPr>
            <w:tcW w:w="624" w:type="dxa"/>
            <w:tcBorders>
              <w:top w:val="single" w:sz="2" w:space="0" w:color="auto"/>
              <w:left w:val="single" w:sz="6" w:space="0" w:color="auto"/>
              <w:bottom w:val="single" w:sz="2" w:space="0" w:color="auto"/>
              <w:right w:val="single" w:sz="6" w:space="0" w:color="auto"/>
            </w:tcBorders>
            <w:vAlign w:val="bottom"/>
          </w:tcPr>
          <w:p w14:paraId="71EA1E6E"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11</w:t>
            </w:r>
          </w:p>
        </w:tc>
        <w:tc>
          <w:tcPr>
            <w:tcW w:w="624" w:type="dxa"/>
            <w:tcBorders>
              <w:top w:val="single" w:sz="2" w:space="0" w:color="auto"/>
              <w:left w:val="single" w:sz="6" w:space="0" w:color="auto"/>
              <w:bottom w:val="single" w:sz="2" w:space="0" w:color="auto"/>
              <w:right w:val="nil"/>
            </w:tcBorders>
            <w:vAlign w:val="bottom"/>
          </w:tcPr>
          <w:p w14:paraId="3D9E6982"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16</w:t>
            </w:r>
          </w:p>
        </w:tc>
        <w:tc>
          <w:tcPr>
            <w:tcW w:w="737" w:type="dxa"/>
            <w:tcBorders>
              <w:top w:val="single" w:sz="2" w:space="0" w:color="auto"/>
              <w:left w:val="double" w:sz="4" w:space="0" w:color="auto"/>
              <w:bottom w:val="single" w:sz="2" w:space="0" w:color="auto"/>
              <w:right w:val="double" w:sz="6" w:space="0" w:color="auto"/>
            </w:tcBorders>
            <w:vAlign w:val="bottom"/>
          </w:tcPr>
          <w:p w14:paraId="01426A56"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221</w:t>
            </w:r>
          </w:p>
        </w:tc>
      </w:tr>
      <w:tr w:rsidR="00E732EF" w:rsidRPr="00E732EF" w14:paraId="0498E097" w14:textId="77777777" w:rsidTr="00E732EF">
        <w:trPr>
          <w:trHeight w:val="249"/>
          <w:jc w:val="center"/>
        </w:trPr>
        <w:tc>
          <w:tcPr>
            <w:tcW w:w="1021" w:type="dxa"/>
            <w:tcBorders>
              <w:top w:val="single" w:sz="2" w:space="0" w:color="auto"/>
              <w:left w:val="double" w:sz="6" w:space="0" w:color="auto"/>
              <w:bottom w:val="double" w:sz="4" w:space="0" w:color="auto"/>
              <w:right w:val="double" w:sz="4" w:space="0" w:color="auto"/>
            </w:tcBorders>
            <w:vAlign w:val="center"/>
          </w:tcPr>
          <w:p w14:paraId="5911142F" w14:textId="77777777" w:rsidR="00E732EF" w:rsidRPr="00E732EF" w:rsidRDefault="00E732EF" w:rsidP="00E732EF">
            <w:pPr>
              <w:spacing w:after="0" w:line="240" w:lineRule="auto"/>
              <w:ind w:left="113"/>
              <w:rPr>
                <w:rFonts w:ascii="Arial" w:eastAsia="Times New Roman" w:hAnsi="Arial" w:cs="Arial"/>
                <w:b/>
                <w:sz w:val="18"/>
                <w:szCs w:val="20"/>
              </w:rPr>
            </w:pPr>
            <w:r w:rsidRPr="00E732EF">
              <w:rPr>
                <w:rFonts w:ascii="Arial" w:eastAsia="Times New Roman" w:hAnsi="Arial" w:cs="Arial"/>
                <w:b/>
                <w:sz w:val="18"/>
                <w:szCs w:val="20"/>
              </w:rPr>
              <w:t>MAKS</w:t>
            </w:r>
          </w:p>
        </w:tc>
        <w:tc>
          <w:tcPr>
            <w:tcW w:w="624" w:type="dxa"/>
            <w:tcBorders>
              <w:top w:val="single" w:sz="2" w:space="0" w:color="auto"/>
              <w:left w:val="nil"/>
              <w:bottom w:val="double" w:sz="4" w:space="0" w:color="auto"/>
              <w:right w:val="single" w:sz="6" w:space="0" w:color="auto"/>
            </w:tcBorders>
            <w:vAlign w:val="bottom"/>
          </w:tcPr>
          <w:p w14:paraId="7F4026F6"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28</w:t>
            </w:r>
          </w:p>
        </w:tc>
        <w:tc>
          <w:tcPr>
            <w:tcW w:w="624" w:type="dxa"/>
            <w:tcBorders>
              <w:top w:val="single" w:sz="2" w:space="0" w:color="auto"/>
              <w:left w:val="single" w:sz="6" w:space="0" w:color="auto"/>
              <w:bottom w:val="double" w:sz="4" w:space="0" w:color="auto"/>
              <w:right w:val="single" w:sz="6" w:space="0" w:color="auto"/>
            </w:tcBorders>
            <w:vAlign w:val="bottom"/>
          </w:tcPr>
          <w:p w14:paraId="5B23AE0A"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27</w:t>
            </w:r>
          </w:p>
        </w:tc>
        <w:tc>
          <w:tcPr>
            <w:tcW w:w="624" w:type="dxa"/>
            <w:tcBorders>
              <w:top w:val="single" w:sz="2" w:space="0" w:color="auto"/>
              <w:left w:val="single" w:sz="6" w:space="0" w:color="auto"/>
              <w:bottom w:val="double" w:sz="4" w:space="0" w:color="auto"/>
              <w:right w:val="single" w:sz="6" w:space="0" w:color="auto"/>
            </w:tcBorders>
            <w:vAlign w:val="bottom"/>
          </w:tcPr>
          <w:p w14:paraId="02D8AD72"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26</w:t>
            </w:r>
          </w:p>
        </w:tc>
        <w:tc>
          <w:tcPr>
            <w:tcW w:w="624" w:type="dxa"/>
            <w:tcBorders>
              <w:top w:val="single" w:sz="2" w:space="0" w:color="auto"/>
              <w:left w:val="single" w:sz="6" w:space="0" w:color="auto"/>
              <w:bottom w:val="double" w:sz="4" w:space="0" w:color="auto"/>
              <w:right w:val="single" w:sz="6" w:space="0" w:color="auto"/>
            </w:tcBorders>
            <w:vAlign w:val="bottom"/>
          </w:tcPr>
          <w:p w14:paraId="4D82B2E6"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24</w:t>
            </w:r>
          </w:p>
        </w:tc>
        <w:tc>
          <w:tcPr>
            <w:tcW w:w="624" w:type="dxa"/>
            <w:tcBorders>
              <w:top w:val="single" w:sz="2" w:space="0" w:color="auto"/>
              <w:left w:val="single" w:sz="6" w:space="0" w:color="auto"/>
              <w:bottom w:val="double" w:sz="4" w:space="0" w:color="auto"/>
              <w:right w:val="single" w:sz="6" w:space="0" w:color="auto"/>
            </w:tcBorders>
            <w:vAlign w:val="bottom"/>
          </w:tcPr>
          <w:p w14:paraId="2A15FC26"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23</w:t>
            </w:r>
          </w:p>
        </w:tc>
        <w:tc>
          <w:tcPr>
            <w:tcW w:w="624" w:type="dxa"/>
            <w:tcBorders>
              <w:top w:val="single" w:sz="2" w:space="0" w:color="auto"/>
              <w:left w:val="single" w:sz="6" w:space="0" w:color="auto"/>
              <w:bottom w:val="double" w:sz="4" w:space="0" w:color="auto"/>
              <w:right w:val="single" w:sz="6" w:space="0" w:color="auto"/>
            </w:tcBorders>
            <w:vAlign w:val="bottom"/>
          </w:tcPr>
          <w:p w14:paraId="2876F913"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21</w:t>
            </w:r>
          </w:p>
        </w:tc>
        <w:tc>
          <w:tcPr>
            <w:tcW w:w="624" w:type="dxa"/>
            <w:tcBorders>
              <w:top w:val="single" w:sz="2" w:space="0" w:color="auto"/>
              <w:left w:val="single" w:sz="6" w:space="0" w:color="auto"/>
              <w:bottom w:val="double" w:sz="4" w:space="0" w:color="auto"/>
              <w:right w:val="single" w:sz="6" w:space="0" w:color="auto"/>
            </w:tcBorders>
            <w:vAlign w:val="bottom"/>
          </w:tcPr>
          <w:p w14:paraId="773E1B60"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31</w:t>
            </w:r>
          </w:p>
        </w:tc>
        <w:tc>
          <w:tcPr>
            <w:tcW w:w="624" w:type="dxa"/>
            <w:tcBorders>
              <w:top w:val="single" w:sz="2" w:space="0" w:color="auto"/>
              <w:left w:val="single" w:sz="6" w:space="0" w:color="auto"/>
              <w:bottom w:val="double" w:sz="4" w:space="0" w:color="auto"/>
              <w:right w:val="single" w:sz="6" w:space="0" w:color="auto"/>
            </w:tcBorders>
            <w:vAlign w:val="bottom"/>
          </w:tcPr>
          <w:p w14:paraId="24AD2B09"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31</w:t>
            </w:r>
          </w:p>
        </w:tc>
        <w:tc>
          <w:tcPr>
            <w:tcW w:w="624" w:type="dxa"/>
            <w:tcBorders>
              <w:top w:val="single" w:sz="2" w:space="0" w:color="auto"/>
              <w:left w:val="single" w:sz="6" w:space="0" w:color="auto"/>
              <w:bottom w:val="double" w:sz="4" w:space="0" w:color="auto"/>
              <w:right w:val="single" w:sz="6" w:space="0" w:color="auto"/>
            </w:tcBorders>
            <w:vAlign w:val="bottom"/>
          </w:tcPr>
          <w:p w14:paraId="2258C72C"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26</w:t>
            </w:r>
          </w:p>
        </w:tc>
        <w:tc>
          <w:tcPr>
            <w:tcW w:w="624" w:type="dxa"/>
            <w:tcBorders>
              <w:top w:val="single" w:sz="2" w:space="0" w:color="auto"/>
              <w:left w:val="single" w:sz="6" w:space="0" w:color="auto"/>
              <w:bottom w:val="double" w:sz="4" w:space="0" w:color="auto"/>
              <w:right w:val="single" w:sz="6" w:space="0" w:color="auto"/>
            </w:tcBorders>
            <w:vAlign w:val="bottom"/>
          </w:tcPr>
          <w:p w14:paraId="42DDA0BA"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28</w:t>
            </w:r>
          </w:p>
        </w:tc>
        <w:tc>
          <w:tcPr>
            <w:tcW w:w="624" w:type="dxa"/>
            <w:tcBorders>
              <w:top w:val="single" w:sz="2" w:space="0" w:color="auto"/>
              <w:left w:val="single" w:sz="6" w:space="0" w:color="auto"/>
              <w:bottom w:val="double" w:sz="4" w:space="0" w:color="auto"/>
              <w:right w:val="single" w:sz="6" w:space="0" w:color="auto"/>
            </w:tcBorders>
            <w:vAlign w:val="bottom"/>
          </w:tcPr>
          <w:p w14:paraId="4B6BCCD2"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28</w:t>
            </w:r>
          </w:p>
        </w:tc>
        <w:tc>
          <w:tcPr>
            <w:tcW w:w="624" w:type="dxa"/>
            <w:tcBorders>
              <w:top w:val="single" w:sz="2" w:space="0" w:color="auto"/>
              <w:left w:val="single" w:sz="6" w:space="0" w:color="auto"/>
              <w:bottom w:val="double" w:sz="4" w:space="0" w:color="auto"/>
              <w:right w:val="nil"/>
            </w:tcBorders>
            <w:vAlign w:val="bottom"/>
          </w:tcPr>
          <w:p w14:paraId="019D788C"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31</w:t>
            </w:r>
          </w:p>
        </w:tc>
        <w:tc>
          <w:tcPr>
            <w:tcW w:w="737" w:type="dxa"/>
            <w:tcBorders>
              <w:top w:val="single" w:sz="2" w:space="0" w:color="auto"/>
              <w:left w:val="double" w:sz="4" w:space="0" w:color="auto"/>
              <w:bottom w:val="double" w:sz="4" w:space="0" w:color="auto"/>
              <w:right w:val="double" w:sz="6" w:space="0" w:color="auto"/>
            </w:tcBorders>
            <w:vAlign w:val="bottom"/>
          </w:tcPr>
          <w:p w14:paraId="112647B0" w14:textId="77777777" w:rsidR="00E732EF" w:rsidRPr="00E732EF" w:rsidRDefault="00E732EF" w:rsidP="00E732EF">
            <w:pPr>
              <w:spacing w:after="0" w:line="240" w:lineRule="auto"/>
              <w:jc w:val="center"/>
              <w:rPr>
                <w:rFonts w:ascii="Arial" w:eastAsia="Arial Unicode MS" w:hAnsi="Arial" w:cs="Arial"/>
                <w:sz w:val="18"/>
                <w:szCs w:val="20"/>
              </w:rPr>
            </w:pPr>
            <w:r w:rsidRPr="00E732EF">
              <w:rPr>
                <w:rFonts w:ascii="Arial" w:eastAsia="Times New Roman" w:hAnsi="Arial" w:cs="Arial"/>
                <w:sz w:val="18"/>
                <w:szCs w:val="20"/>
              </w:rPr>
              <w:t>284</w:t>
            </w:r>
          </w:p>
        </w:tc>
      </w:tr>
    </w:tbl>
    <w:p w14:paraId="77ECC1ED"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 Izvor podataka: DHMZ i meteorološka podloga dostavljena DUZS</w:t>
      </w:r>
    </w:p>
    <w:p w14:paraId="50D8AB14" w14:textId="77777777" w:rsidR="00E732EF" w:rsidRPr="00E732EF" w:rsidRDefault="00E732EF" w:rsidP="00E732EF">
      <w:pPr>
        <w:spacing w:after="0" w:line="240" w:lineRule="auto"/>
        <w:jc w:val="both"/>
        <w:rPr>
          <w:rFonts w:ascii="Times New Roman" w:eastAsia="Calibri" w:hAnsi="Times New Roman" w:cs="Times New Roman"/>
          <w:b/>
          <w:bCs/>
          <w:i/>
          <w:iCs/>
        </w:rPr>
      </w:pPr>
    </w:p>
    <w:p w14:paraId="2327F7CF"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b/>
          <w:bCs/>
          <w:i/>
          <w:iCs/>
        </w:rPr>
        <w:t>Suša</w:t>
      </w:r>
      <w:r w:rsidRPr="00E732EF">
        <w:rPr>
          <w:rFonts w:ascii="Times New Roman" w:eastAsia="Calibri" w:hAnsi="Times New Roman" w:cs="Times New Roman"/>
        </w:rPr>
        <w:t xml:space="preserve"> je prirodna pojava, elementarna nepogoda koja je primarno vezana uz deficit oborine kroz dulje vremensko razdoblje u odnosu na prosječne oborinske prilike na određenom području. Sušu definira i povećana temperatura zraka u odnosu na prosječne temperaturne prilike na određenom području. Ona predstavlja kompleksan proces koji uključuje različite faktore za određivanje rizika i osjetljivosti na sušu. U usporedbi s drugim prirodnim nepogodama, na primjer poplavama, suša se relativno sporo razvija, dugo traje, i teško je odrediti njezin vremenski početak i kraj. Stoga i ne postoji univerzalna definicija suše. Posljedice suše ogledaju se gotovo u svim aspektima života kod ljudi, biljaka i životinja. Manjak oborine se može pojaviti tijekom tjedana, mjeseci ili godina što može imati za posljedicu smanjenje površinskih i podzemnih zaliha vode, odnosno smanjenje protoka vode u vodotocima te razine vode u jezerima i u podzemlju, uzrokujući hidrološku sušu. </w:t>
      </w:r>
    </w:p>
    <w:p w14:paraId="4F5A75FF"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Pored </w:t>
      </w:r>
      <w:r w:rsidRPr="00E732EF">
        <w:rPr>
          <w:rFonts w:ascii="Times New Roman" w:eastAsia="Calibri" w:hAnsi="Times New Roman" w:cs="Times New Roman"/>
          <w:i/>
          <w:iCs/>
          <w:u w:val="single"/>
        </w:rPr>
        <w:t>hidrološke suše</w:t>
      </w:r>
      <w:r w:rsidRPr="00E732EF">
        <w:rPr>
          <w:rFonts w:ascii="Times New Roman" w:eastAsia="Calibri" w:hAnsi="Times New Roman" w:cs="Times New Roman"/>
        </w:rPr>
        <w:t xml:space="preserve"> i kratkoročni manjak oborine u vegetacijskom razdoblju može uzrokovati nedostatak vode u tlu (zasušenje) koja je potrebna za razvoj biljnih kultura te biljke zaostaju u rastu i razvoju što se u konačnici odražava smanjenjem prinosa i nestabilnošću biljne proizvodnje. Osim nedostatka oborine, kad dođe do povećanja temperature zraka (zatopljenje) kod biljke se javlja povećana potreba biljke za vodom. </w:t>
      </w:r>
    </w:p>
    <w:p w14:paraId="5C6DA182"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Pojava suše (zasušenje i zatopljenje) u biljnoj proizvodnji naziva se agronomska suša. Agronomska suša se može pojaviti u sva četiri godišnja doba i imati posljedice na opskrbu biljke vodom. Kada je zima bez oborine (kiša, snijeg ili pojava suhog snijega), ne stvara se zaliha vode u tlu. U vrijeme suhog proljeća i uz pojavu vjetrova isušuje se površinski sloj tla, te jare kulture ne mogu pravodobno i kvalitetno nicati. Tijekom jeseni, nedovoljno oborina usporava razvoj ozimih kultura. </w:t>
      </w:r>
    </w:p>
    <w:p w14:paraId="74D9EB50" w14:textId="77777777" w:rsidR="00E732EF" w:rsidRPr="00E732EF" w:rsidRDefault="00E732EF" w:rsidP="00E732EF">
      <w:pPr>
        <w:spacing w:after="0" w:line="240" w:lineRule="auto"/>
        <w:jc w:val="both"/>
        <w:rPr>
          <w:rFonts w:ascii="Times New Roman" w:eastAsia="Calibri" w:hAnsi="Times New Roman" w:cs="Times New Roman"/>
          <w:i/>
          <w:iCs/>
          <w:u w:val="single"/>
          <w:lang w:eastAsia="hr-HR"/>
        </w:rPr>
      </w:pPr>
    </w:p>
    <w:p w14:paraId="67255C43"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i/>
          <w:iCs/>
          <w:u w:val="single"/>
          <w:lang w:eastAsia="hr-HR"/>
        </w:rPr>
        <w:t>U</w:t>
      </w:r>
      <w:r w:rsidRPr="00E732EF">
        <w:rPr>
          <w:rFonts w:ascii="Times New Roman" w:eastAsia="TimesNewRoman" w:hAnsi="Times New Roman" w:cs="Times New Roman"/>
          <w:i/>
          <w:iCs/>
          <w:u w:val="single"/>
          <w:lang w:eastAsia="hr-HR"/>
        </w:rPr>
        <w:t>č</w:t>
      </w:r>
      <w:r w:rsidRPr="00E732EF">
        <w:rPr>
          <w:rFonts w:ascii="Times New Roman" w:eastAsia="Calibri" w:hAnsi="Times New Roman" w:cs="Times New Roman"/>
          <w:i/>
          <w:iCs/>
          <w:u w:val="single"/>
          <w:lang w:eastAsia="hr-HR"/>
        </w:rPr>
        <w:t>inci suše</w:t>
      </w:r>
      <w:r w:rsidRPr="00E732EF">
        <w:rPr>
          <w:rFonts w:ascii="Times New Roman" w:eastAsia="Calibri" w:hAnsi="Times New Roman" w:cs="Times New Roman"/>
          <w:lang w:eastAsia="hr-HR"/>
        </w:rPr>
        <w:t xml:space="preserve"> najve</w:t>
      </w:r>
      <w:r w:rsidRPr="00E732EF">
        <w:rPr>
          <w:rFonts w:ascii="Times New Roman" w:eastAsia="TimesNewRoman" w:hAnsi="Times New Roman" w:cs="Times New Roman"/>
          <w:lang w:eastAsia="hr-HR"/>
        </w:rPr>
        <w:t>ć</w:t>
      </w:r>
      <w:r w:rsidRPr="00E732EF">
        <w:rPr>
          <w:rFonts w:ascii="Times New Roman" w:eastAsia="Calibri" w:hAnsi="Times New Roman" w:cs="Times New Roman"/>
          <w:lang w:eastAsia="hr-HR"/>
        </w:rPr>
        <w:t>e posljedice imaju na ratarske kulture, šume i trajne nasade. Posljedice suše mogu se o</w:t>
      </w:r>
      <w:r w:rsidRPr="00E732EF">
        <w:rPr>
          <w:rFonts w:ascii="Times New Roman" w:eastAsia="TimesNewRoman" w:hAnsi="Times New Roman" w:cs="Times New Roman"/>
          <w:lang w:eastAsia="hr-HR"/>
        </w:rPr>
        <w:t>č</w:t>
      </w:r>
      <w:r w:rsidRPr="00E732EF">
        <w:rPr>
          <w:rFonts w:ascii="Times New Roman" w:eastAsia="Calibri" w:hAnsi="Times New Roman" w:cs="Times New Roman"/>
          <w:lang w:eastAsia="hr-HR"/>
        </w:rPr>
        <w:t>itovati i u nedostatku vode potrebne za napajanje životinja kao i nedostatkom pitke vode za stanovnike podru</w:t>
      </w:r>
      <w:r w:rsidRPr="00E732EF">
        <w:rPr>
          <w:rFonts w:ascii="Times New Roman" w:eastAsia="TimesNewRoman" w:hAnsi="Times New Roman" w:cs="Times New Roman"/>
          <w:lang w:eastAsia="hr-HR"/>
        </w:rPr>
        <w:t>č</w:t>
      </w:r>
      <w:r w:rsidRPr="00E732EF">
        <w:rPr>
          <w:rFonts w:ascii="Times New Roman" w:eastAsia="Calibri" w:hAnsi="Times New Roman" w:cs="Times New Roman"/>
          <w:lang w:eastAsia="hr-HR"/>
        </w:rPr>
        <w:t>ja koja se vodom ne opskrbljuju putem vodovodne mreže. Navodnjavanje se malo primjenjuje, uglavnom na oku</w:t>
      </w:r>
      <w:r w:rsidRPr="00E732EF">
        <w:rPr>
          <w:rFonts w:ascii="Times New Roman" w:eastAsia="TimesNewRoman" w:hAnsi="Times New Roman" w:cs="Times New Roman"/>
          <w:lang w:eastAsia="hr-HR"/>
        </w:rPr>
        <w:t>ć</w:t>
      </w:r>
      <w:r w:rsidRPr="00E732EF">
        <w:rPr>
          <w:rFonts w:ascii="Times New Roman" w:eastAsia="Calibri" w:hAnsi="Times New Roman" w:cs="Times New Roman"/>
          <w:lang w:eastAsia="hr-HR"/>
        </w:rPr>
        <w:t>nicama, iako za to postoje povoljni uvjeti. U</w:t>
      </w:r>
      <w:r w:rsidRPr="00E732EF">
        <w:rPr>
          <w:rFonts w:ascii="Times New Roman" w:eastAsia="TimesNewRoman" w:hAnsi="Times New Roman" w:cs="Times New Roman"/>
          <w:lang w:eastAsia="hr-HR"/>
        </w:rPr>
        <w:t>č</w:t>
      </w:r>
      <w:r w:rsidRPr="00E732EF">
        <w:rPr>
          <w:rFonts w:ascii="Times New Roman" w:eastAsia="Calibri" w:hAnsi="Times New Roman" w:cs="Times New Roman"/>
          <w:lang w:eastAsia="hr-HR"/>
        </w:rPr>
        <w:t>inci suše mogu imati i obilježja velikih nesreća za podru</w:t>
      </w:r>
      <w:r w:rsidRPr="00E732EF">
        <w:rPr>
          <w:rFonts w:ascii="Times New Roman" w:eastAsia="TimesNewRoman" w:hAnsi="Times New Roman" w:cs="Times New Roman"/>
          <w:lang w:eastAsia="hr-HR"/>
        </w:rPr>
        <w:t>č</w:t>
      </w:r>
      <w:r w:rsidRPr="00E732EF">
        <w:rPr>
          <w:rFonts w:ascii="Times New Roman" w:eastAsia="Calibri" w:hAnsi="Times New Roman" w:cs="Times New Roman"/>
          <w:lang w:eastAsia="hr-HR"/>
        </w:rPr>
        <w:t>je Općine Sveti Juraj na Bregu, prvenstveno iz razloga značajnih poljoprivrednih površina, a štete mogu biti i na</w:t>
      </w:r>
      <w:r w:rsidRPr="00E732EF">
        <w:rPr>
          <w:rFonts w:ascii="Times New Roman" w:eastAsia="Calibri" w:hAnsi="Times New Roman" w:cs="Times New Roman"/>
        </w:rPr>
        <w:t xml:space="preserve"> šumskom fondu kao i povećanom riziku od požara.</w:t>
      </w:r>
    </w:p>
    <w:p w14:paraId="1F516E74" w14:textId="77777777" w:rsidR="00E732EF" w:rsidRPr="00E732EF" w:rsidRDefault="00E732EF" w:rsidP="00E732EF">
      <w:pPr>
        <w:spacing w:after="0" w:line="240" w:lineRule="auto"/>
        <w:jc w:val="both"/>
        <w:rPr>
          <w:rFonts w:ascii="Times New Roman" w:eastAsia="Calibri" w:hAnsi="Times New Roman" w:cs="Times New Roman"/>
          <w:lang w:eastAsia="hr-HR"/>
        </w:rPr>
      </w:pPr>
    </w:p>
    <w:p w14:paraId="12071223" w14:textId="77777777" w:rsidR="00E732EF" w:rsidRPr="00E732EF" w:rsidRDefault="00E732EF" w:rsidP="00E732EF">
      <w:pPr>
        <w:jc w:val="both"/>
        <w:rPr>
          <w:rFonts w:ascii="Times New Roman" w:eastAsia="Calibri" w:hAnsi="Times New Roman" w:cs="Times New Roman"/>
          <w:i/>
          <w:iCs/>
        </w:rPr>
      </w:pPr>
      <w:r w:rsidRPr="00E732EF">
        <w:rPr>
          <w:rFonts w:ascii="Times New Roman" w:eastAsia="Calibri" w:hAnsi="Times New Roman" w:cs="Times New Roman"/>
          <w:i/>
          <w:iCs/>
        </w:rPr>
        <w:t xml:space="preserve">Preventivne mjere radi umanjenja posljedica prirodne nepogode  </w:t>
      </w:r>
    </w:p>
    <w:p w14:paraId="344F92D2"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 xml:space="preserve">U preventivnim mjerama i smanjenju eventualnih šteta potrebno je sagledati mogućnost izgradnje sustava navodnjavanja okolnih poljoprivrednih površina u smislu da stanovnici Općine na svoje poljoprivredne površine postave vodene pumpe kako bi sami navodnjavali svoje poljoprivredne površine te time spriječili uništavanje poljoprivrednih kultura za vrijeme sušnih razdoblja. </w:t>
      </w:r>
    </w:p>
    <w:p w14:paraId="6BC04E6A" w14:textId="77777777" w:rsidR="00E732EF" w:rsidRPr="00E732EF" w:rsidRDefault="00E732EF" w:rsidP="00E732EF">
      <w:pPr>
        <w:jc w:val="both"/>
        <w:rPr>
          <w:rFonts w:ascii="Times New Roman" w:eastAsia="Calibri" w:hAnsi="Times New Roman" w:cs="Times New Roman"/>
          <w:i/>
          <w:iCs/>
        </w:rPr>
      </w:pPr>
      <w:r w:rsidRPr="00E732EF">
        <w:rPr>
          <w:rFonts w:ascii="Times New Roman" w:eastAsia="Calibri" w:hAnsi="Times New Roman" w:cs="Times New Roman"/>
          <w:i/>
          <w:iCs/>
        </w:rPr>
        <w:t xml:space="preserve">Mjere za ublažavanje i otklanjanje izravnih posljedica prirodne nepogode </w:t>
      </w:r>
    </w:p>
    <w:p w14:paraId="4B8D2754"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 xml:space="preserve">Mjere za ublažavanje i otklanjanje izravnih posljedica prirodne nepogode podrazumijevaju procjenu šteta i posljedica; sanaciju nastalih oštećenja i šteta. Sanacija obuhvaća aktivnosti kojima se otklanjaju </w:t>
      </w:r>
      <w:r w:rsidRPr="00E732EF">
        <w:rPr>
          <w:rFonts w:ascii="Times New Roman" w:eastAsia="Calibri" w:hAnsi="Times New Roman" w:cs="Times New Roman"/>
        </w:rPr>
        <w:lastRenderedPageBreak/>
        <w:t xml:space="preserve">posljedice prirodne nepogode, pružanje prve pomoći unesrećenima ukoliko ih je bilo te sve ostale radnje kojima se smanjuju posljedice suše. </w:t>
      </w:r>
    </w:p>
    <w:tbl>
      <w:tblPr>
        <w:tblW w:w="0" w:type="auto"/>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897"/>
        <w:gridCol w:w="8010"/>
      </w:tblGrid>
      <w:tr w:rsidR="00E732EF" w:rsidRPr="00E732EF" w14:paraId="5B5D4201" w14:textId="77777777" w:rsidTr="00E732EF">
        <w:trPr>
          <w:trHeight w:val="255"/>
        </w:trPr>
        <w:tc>
          <w:tcPr>
            <w:tcW w:w="897" w:type="dxa"/>
            <w:tcBorders>
              <w:top w:val="single" w:sz="4" w:space="0" w:color="BFBFBF"/>
              <w:left w:val="single" w:sz="4" w:space="0" w:color="BFBFBF"/>
              <w:bottom w:val="single" w:sz="4" w:space="0" w:color="BFBFBF"/>
              <w:right w:val="single" w:sz="4" w:space="0" w:color="BFBFBF"/>
            </w:tcBorders>
            <w:shd w:val="clear" w:color="auto" w:fill="F2F2F2"/>
            <w:hideMark/>
          </w:tcPr>
          <w:p w14:paraId="012A8DDF" w14:textId="77777777" w:rsidR="00E732EF" w:rsidRPr="00E732EF" w:rsidRDefault="00E732EF" w:rsidP="00E732EF">
            <w:pPr>
              <w:ind w:left="-23"/>
              <w:jc w:val="center"/>
              <w:rPr>
                <w:rFonts w:ascii="Times New Roman" w:eastAsia="Calibri" w:hAnsi="Times New Roman" w:cs="Times New Roman"/>
                <w:b/>
                <w:bCs/>
              </w:rPr>
            </w:pPr>
            <w:r w:rsidRPr="00E732EF">
              <w:rPr>
                <w:rFonts w:ascii="Times New Roman" w:eastAsia="Calibri" w:hAnsi="Times New Roman" w:cs="Times New Roman"/>
                <w:b/>
                <w:bCs/>
              </w:rPr>
              <w:t>R/br.</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58915B02" w14:textId="77777777" w:rsidR="00E732EF" w:rsidRPr="00E732EF" w:rsidRDefault="00E732EF" w:rsidP="00E732EF">
            <w:pPr>
              <w:ind w:left="-23"/>
              <w:jc w:val="center"/>
              <w:rPr>
                <w:rFonts w:ascii="Times New Roman" w:eastAsia="Calibri" w:hAnsi="Times New Roman" w:cs="Times New Roman"/>
                <w:b/>
                <w:bCs/>
              </w:rPr>
            </w:pPr>
            <w:r w:rsidRPr="00E732EF">
              <w:rPr>
                <w:rFonts w:ascii="Times New Roman" w:eastAsia="Calibri" w:hAnsi="Times New Roman" w:cs="Times New Roman"/>
                <w:b/>
                <w:bCs/>
              </w:rPr>
              <w:t>MJERE – radnje i postupci</w:t>
            </w:r>
          </w:p>
        </w:tc>
      </w:tr>
      <w:tr w:rsidR="00E732EF" w:rsidRPr="00E732EF" w14:paraId="6EECDA5C" w14:textId="77777777" w:rsidTr="00E732EF">
        <w:trPr>
          <w:trHeight w:val="420"/>
        </w:trPr>
        <w:tc>
          <w:tcPr>
            <w:tcW w:w="897" w:type="dxa"/>
            <w:tcBorders>
              <w:top w:val="single" w:sz="4" w:space="0" w:color="BFBFBF"/>
              <w:left w:val="single" w:sz="4" w:space="0" w:color="BFBFBF"/>
              <w:bottom w:val="single" w:sz="4" w:space="0" w:color="BFBFBF"/>
              <w:right w:val="single" w:sz="4" w:space="0" w:color="BFBFBF"/>
            </w:tcBorders>
            <w:shd w:val="clear" w:color="auto" w:fill="F2F2F2"/>
            <w:hideMark/>
          </w:tcPr>
          <w:p w14:paraId="23BA0358"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1.</w:t>
            </w:r>
          </w:p>
        </w:tc>
        <w:tc>
          <w:tcPr>
            <w:tcW w:w="8010" w:type="dxa"/>
            <w:tcBorders>
              <w:top w:val="single" w:sz="4" w:space="0" w:color="BFBFBF"/>
              <w:left w:val="single" w:sz="4" w:space="0" w:color="BFBFBF"/>
              <w:bottom w:val="single" w:sz="4" w:space="0" w:color="BFBFBF"/>
              <w:right w:val="single" w:sz="4" w:space="0" w:color="BFBFBF"/>
            </w:tcBorders>
            <w:hideMark/>
          </w:tcPr>
          <w:p w14:paraId="321F1EC9"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Izvještavanje župana Međimurske županije i predlaganje aktiviranja Povjerenstva za procjenu štete od elementarnih nepogoda na ugroženim područjima.</w:t>
            </w:r>
          </w:p>
        </w:tc>
      </w:tr>
      <w:tr w:rsidR="00E732EF" w:rsidRPr="00E732EF" w14:paraId="48606979" w14:textId="77777777" w:rsidTr="00E732EF">
        <w:trPr>
          <w:trHeight w:val="375"/>
        </w:trPr>
        <w:tc>
          <w:tcPr>
            <w:tcW w:w="897" w:type="dxa"/>
            <w:tcBorders>
              <w:top w:val="single" w:sz="4" w:space="0" w:color="BFBFBF"/>
              <w:left w:val="single" w:sz="4" w:space="0" w:color="BFBFBF"/>
              <w:bottom w:val="single" w:sz="4" w:space="0" w:color="BFBFBF"/>
              <w:right w:val="single" w:sz="4" w:space="0" w:color="BFBFBF"/>
            </w:tcBorders>
            <w:shd w:val="clear" w:color="auto" w:fill="F2F2F2"/>
            <w:hideMark/>
          </w:tcPr>
          <w:p w14:paraId="0F81F75B"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2.</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07FB2252"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Povjerenstvo Općine Sveti Juraj na Bregu nastavlja aktivnosti na popisu i procjeni štete sukladno Zakona o ublažavanju i uklanjanju posljedica prirodnih nepogoda (NN 16/19)  i Pravilniku o registru šteta od prirodnih nepogoda (NN 65/19)</w:t>
            </w:r>
          </w:p>
        </w:tc>
      </w:tr>
      <w:tr w:rsidR="00E732EF" w:rsidRPr="00E732EF" w14:paraId="42B83133" w14:textId="77777777" w:rsidTr="00E732EF">
        <w:trPr>
          <w:trHeight w:val="315"/>
        </w:trPr>
        <w:tc>
          <w:tcPr>
            <w:tcW w:w="897" w:type="dxa"/>
            <w:tcBorders>
              <w:top w:val="single" w:sz="4" w:space="0" w:color="BFBFBF"/>
              <w:left w:val="single" w:sz="4" w:space="0" w:color="BFBFBF"/>
              <w:bottom w:val="single" w:sz="4" w:space="0" w:color="BFBFBF"/>
              <w:right w:val="single" w:sz="4" w:space="0" w:color="BFBFBF"/>
            </w:tcBorders>
            <w:shd w:val="clear" w:color="auto" w:fill="F2F2F2"/>
            <w:hideMark/>
          </w:tcPr>
          <w:p w14:paraId="35BB1DF3"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3.</w:t>
            </w:r>
          </w:p>
        </w:tc>
        <w:tc>
          <w:tcPr>
            <w:tcW w:w="8010" w:type="dxa"/>
            <w:tcBorders>
              <w:top w:val="single" w:sz="4" w:space="0" w:color="BFBFBF"/>
              <w:left w:val="single" w:sz="4" w:space="0" w:color="BFBFBF"/>
              <w:bottom w:val="single" w:sz="4" w:space="0" w:color="BFBFBF"/>
              <w:right w:val="single" w:sz="4" w:space="0" w:color="BFBFBF"/>
            </w:tcBorders>
            <w:hideMark/>
          </w:tcPr>
          <w:p w14:paraId="6678C8B2"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Aktiviranje Stožera CZ  Općine Sveti Juraj na Bregu – po procjeni općinskog načelnika</w:t>
            </w:r>
          </w:p>
        </w:tc>
      </w:tr>
      <w:tr w:rsidR="00E732EF" w:rsidRPr="00E732EF" w14:paraId="5F29336B" w14:textId="77777777" w:rsidTr="00E732EF">
        <w:trPr>
          <w:trHeight w:val="375"/>
        </w:trPr>
        <w:tc>
          <w:tcPr>
            <w:tcW w:w="897" w:type="dxa"/>
            <w:tcBorders>
              <w:top w:val="single" w:sz="4" w:space="0" w:color="BFBFBF"/>
              <w:left w:val="single" w:sz="4" w:space="0" w:color="BFBFBF"/>
              <w:bottom w:val="single" w:sz="4" w:space="0" w:color="BFBFBF"/>
              <w:right w:val="single" w:sz="4" w:space="0" w:color="BFBFBF"/>
            </w:tcBorders>
            <w:shd w:val="clear" w:color="auto" w:fill="F2F2F2"/>
            <w:hideMark/>
          </w:tcPr>
          <w:p w14:paraId="2F4457E1"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4.</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6BEC3138"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Prikupljanje informacija o naseljima u kojima se dogodila nestašica vode i izrada prioriteta dostave vode ljudima, životinjama, zalijevanje usjeva važnih za funkcioniranje zajednice</w:t>
            </w:r>
          </w:p>
        </w:tc>
      </w:tr>
      <w:tr w:rsidR="00E732EF" w:rsidRPr="00E732EF" w14:paraId="19886868" w14:textId="77777777" w:rsidTr="00E732EF">
        <w:trPr>
          <w:trHeight w:val="285"/>
        </w:trPr>
        <w:tc>
          <w:tcPr>
            <w:tcW w:w="897" w:type="dxa"/>
            <w:tcBorders>
              <w:top w:val="single" w:sz="4" w:space="0" w:color="BFBFBF"/>
              <w:left w:val="single" w:sz="4" w:space="0" w:color="BFBFBF"/>
              <w:bottom w:val="single" w:sz="4" w:space="0" w:color="BFBFBF"/>
              <w:right w:val="single" w:sz="4" w:space="0" w:color="BFBFBF"/>
            </w:tcBorders>
            <w:shd w:val="clear" w:color="auto" w:fill="F2F2F2"/>
            <w:hideMark/>
          </w:tcPr>
          <w:p w14:paraId="4AA6764C"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5.</w:t>
            </w:r>
          </w:p>
        </w:tc>
        <w:tc>
          <w:tcPr>
            <w:tcW w:w="8010" w:type="dxa"/>
            <w:tcBorders>
              <w:top w:val="single" w:sz="4" w:space="0" w:color="BFBFBF"/>
              <w:left w:val="single" w:sz="4" w:space="0" w:color="BFBFBF"/>
              <w:bottom w:val="single" w:sz="4" w:space="0" w:color="BFBFBF"/>
              <w:right w:val="single" w:sz="4" w:space="0" w:color="BFBFBF"/>
            </w:tcBorders>
            <w:hideMark/>
          </w:tcPr>
          <w:p w14:paraId="6F15270F"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Pronalaženje najbližeg vodozahvata sa kojega postoji mogućnost dostave vode.</w:t>
            </w:r>
          </w:p>
        </w:tc>
      </w:tr>
      <w:tr w:rsidR="00E732EF" w:rsidRPr="00E732EF" w14:paraId="3023CCAC" w14:textId="77777777" w:rsidTr="00E732EF">
        <w:trPr>
          <w:trHeight w:val="360"/>
        </w:trPr>
        <w:tc>
          <w:tcPr>
            <w:tcW w:w="897" w:type="dxa"/>
            <w:tcBorders>
              <w:top w:val="single" w:sz="4" w:space="0" w:color="BFBFBF"/>
              <w:left w:val="single" w:sz="4" w:space="0" w:color="BFBFBF"/>
              <w:bottom w:val="single" w:sz="4" w:space="0" w:color="BFBFBF"/>
              <w:right w:val="single" w:sz="4" w:space="0" w:color="BFBFBF"/>
            </w:tcBorders>
            <w:shd w:val="clear" w:color="auto" w:fill="F2F2F2"/>
            <w:hideMark/>
          </w:tcPr>
          <w:p w14:paraId="211A1E4C"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6.</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02090C26"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Angažiranje  Vatrogasne zajednice  Općine sa 5 DVD-ova, Komunalnih snaga, Međimurskih voda d.o.o., Povjerenika CZ  i drugih, na dostavi vode na ugrožena područja </w:t>
            </w:r>
          </w:p>
        </w:tc>
      </w:tr>
      <w:tr w:rsidR="00E732EF" w:rsidRPr="00E732EF" w14:paraId="5CFA591F" w14:textId="77777777" w:rsidTr="00E732EF">
        <w:trPr>
          <w:trHeight w:val="255"/>
        </w:trPr>
        <w:tc>
          <w:tcPr>
            <w:tcW w:w="897" w:type="dxa"/>
            <w:tcBorders>
              <w:top w:val="single" w:sz="4" w:space="0" w:color="BFBFBF"/>
              <w:left w:val="single" w:sz="4" w:space="0" w:color="BFBFBF"/>
              <w:bottom w:val="single" w:sz="4" w:space="0" w:color="BFBFBF"/>
              <w:right w:val="single" w:sz="4" w:space="0" w:color="BFBFBF"/>
            </w:tcBorders>
            <w:shd w:val="clear" w:color="auto" w:fill="F2F2F2"/>
            <w:hideMark/>
          </w:tcPr>
          <w:p w14:paraId="686FA52C"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7.</w:t>
            </w:r>
          </w:p>
        </w:tc>
        <w:tc>
          <w:tcPr>
            <w:tcW w:w="8010" w:type="dxa"/>
            <w:tcBorders>
              <w:top w:val="single" w:sz="4" w:space="0" w:color="BFBFBF"/>
              <w:left w:val="single" w:sz="4" w:space="0" w:color="BFBFBF"/>
              <w:bottom w:val="single" w:sz="4" w:space="0" w:color="BFBFBF"/>
              <w:right w:val="single" w:sz="4" w:space="0" w:color="BFBFBF"/>
            </w:tcBorders>
            <w:hideMark/>
          </w:tcPr>
          <w:p w14:paraId="1E206CCB"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Informiranje stanovništva o načinu snabdijevanja.</w:t>
            </w:r>
          </w:p>
        </w:tc>
      </w:tr>
      <w:tr w:rsidR="00E732EF" w:rsidRPr="00E732EF" w14:paraId="3DF7C609" w14:textId="77777777" w:rsidTr="00E732EF">
        <w:trPr>
          <w:trHeight w:val="180"/>
        </w:trPr>
        <w:tc>
          <w:tcPr>
            <w:tcW w:w="897" w:type="dxa"/>
            <w:tcBorders>
              <w:top w:val="single" w:sz="4" w:space="0" w:color="BFBFBF"/>
              <w:left w:val="single" w:sz="4" w:space="0" w:color="BFBFBF"/>
              <w:bottom w:val="single" w:sz="4" w:space="0" w:color="BFBFBF"/>
              <w:right w:val="single" w:sz="4" w:space="0" w:color="BFBFBF"/>
            </w:tcBorders>
            <w:shd w:val="clear" w:color="auto" w:fill="F2F2F2"/>
            <w:hideMark/>
          </w:tcPr>
          <w:p w14:paraId="0B39EF01"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8.</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4892ACB0"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Izrada popisa (vlasnik i broj grla) životinjskog fonda koristeći evidenciju Veterinarske stanice Čakovec</w:t>
            </w:r>
          </w:p>
        </w:tc>
      </w:tr>
      <w:tr w:rsidR="00E732EF" w:rsidRPr="00E732EF" w14:paraId="04BC3C7E" w14:textId="77777777" w:rsidTr="00E732EF">
        <w:trPr>
          <w:trHeight w:val="300"/>
        </w:trPr>
        <w:tc>
          <w:tcPr>
            <w:tcW w:w="897" w:type="dxa"/>
            <w:tcBorders>
              <w:top w:val="single" w:sz="4" w:space="0" w:color="BFBFBF"/>
              <w:left w:val="single" w:sz="4" w:space="0" w:color="BFBFBF"/>
              <w:bottom w:val="single" w:sz="4" w:space="0" w:color="BFBFBF"/>
              <w:right w:val="single" w:sz="4" w:space="0" w:color="BFBFBF"/>
            </w:tcBorders>
            <w:shd w:val="clear" w:color="auto" w:fill="F2F2F2"/>
            <w:hideMark/>
          </w:tcPr>
          <w:p w14:paraId="657528E6"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9.</w:t>
            </w:r>
          </w:p>
        </w:tc>
        <w:tc>
          <w:tcPr>
            <w:tcW w:w="8010" w:type="dxa"/>
            <w:tcBorders>
              <w:top w:val="single" w:sz="4" w:space="0" w:color="BFBFBF"/>
              <w:left w:val="single" w:sz="4" w:space="0" w:color="BFBFBF"/>
              <w:bottom w:val="single" w:sz="4" w:space="0" w:color="BFBFBF"/>
              <w:right w:val="single" w:sz="4" w:space="0" w:color="BFBFBF"/>
            </w:tcBorders>
            <w:hideMark/>
          </w:tcPr>
          <w:p w14:paraId="5AAEF364"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Utvrđivanje minimalne dnevne količine vode po grlu.</w:t>
            </w:r>
          </w:p>
        </w:tc>
      </w:tr>
      <w:tr w:rsidR="00E732EF" w:rsidRPr="00E732EF" w14:paraId="55AF5A32" w14:textId="77777777" w:rsidTr="00E732EF">
        <w:trPr>
          <w:trHeight w:val="176"/>
        </w:trPr>
        <w:tc>
          <w:tcPr>
            <w:tcW w:w="897" w:type="dxa"/>
            <w:tcBorders>
              <w:top w:val="single" w:sz="4" w:space="0" w:color="BFBFBF"/>
              <w:left w:val="single" w:sz="4" w:space="0" w:color="BFBFBF"/>
              <w:bottom w:val="single" w:sz="4" w:space="0" w:color="BFBFBF"/>
              <w:right w:val="single" w:sz="4" w:space="0" w:color="BFBFBF"/>
            </w:tcBorders>
            <w:shd w:val="clear" w:color="auto" w:fill="F2F2F2"/>
            <w:hideMark/>
          </w:tcPr>
          <w:p w14:paraId="4469563C"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10.</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181E18EF"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Dovoz vode vlasnicima većeg broja grla.</w:t>
            </w:r>
          </w:p>
        </w:tc>
      </w:tr>
      <w:tr w:rsidR="00E732EF" w:rsidRPr="00E732EF" w14:paraId="5D1D9202" w14:textId="77777777" w:rsidTr="00E732EF">
        <w:trPr>
          <w:trHeight w:val="206"/>
        </w:trPr>
        <w:tc>
          <w:tcPr>
            <w:tcW w:w="897" w:type="dxa"/>
            <w:tcBorders>
              <w:top w:val="single" w:sz="4" w:space="0" w:color="BFBFBF"/>
              <w:left w:val="single" w:sz="4" w:space="0" w:color="BFBFBF"/>
              <w:bottom w:val="single" w:sz="4" w:space="0" w:color="BFBFBF"/>
              <w:right w:val="single" w:sz="4" w:space="0" w:color="BFBFBF"/>
            </w:tcBorders>
            <w:shd w:val="clear" w:color="auto" w:fill="F2F2F2"/>
            <w:hideMark/>
          </w:tcPr>
          <w:p w14:paraId="4324140B"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11.</w:t>
            </w:r>
          </w:p>
        </w:tc>
        <w:tc>
          <w:tcPr>
            <w:tcW w:w="8010" w:type="dxa"/>
            <w:tcBorders>
              <w:top w:val="single" w:sz="4" w:space="0" w:color="BFBFBF"/>
              <w:left w:val="single" w:sz="4" w:space="0" w:color="BFBFBF"/>
              <w:bottom w:val="single" w:sz="4" w:space="0" w:color="BFBFBF"/>
              <w:right w:val="single" w:sz="4" w:space="0" w:color="BFBFBF"/>
            </w:tcBorders>
            <w:hideMark/>
          </w:tcPr>
          <w:p w14:paraId="5A21C8B4" w14:textId="77777777" w:rsidR="00E732EF" w:rsidRPr="00E732EF" w:rsidRDefault="00E732EF" w:rsidP="00E732EF">
            <w:pPr>
              <w:spacing w:after="0" w:line="240" w:lineRule="auto"/>
              <w:jc w:val="both"/>
              <w:rPr>
                <w:rFonts w:ascii="Times New Roman" w:eastAsia="Calibri" w:hAnsi="Times New Roman" w:cs="Times New Roman"/>
                <w:highlight w:val="yellow"/>
              </w:rPr>
            </w:pPr>
            <w:r w:rsidRPr="00E732EF">
              <w:rPr>
                <w:rFonts w:ascii="Times New Roman" w:eastAsia="Calibri" w:hAnsi="Times New Roman" w:cs="Times New Roman"/>
              </w:rPr>
              <w:t>Upućivanje zahtjeva Međimurskoj županiji za angažmanom dodatnih cisterni koje omogućavaju isporuku higijenski ispravne vode.</w:t>
            </w:r>
          </w:p>
        </w:tc>
      </w:tr>
      <w:tr w:rsidR="00E732EF" w:rsidRPr="00E732EF" w14:paraId="7046F964" w14:textId="77777777" w:rsidTr="00E732EF">
        <w:trPr>
          <w:trHeight w:val="270"/>
        </w:trPr>
        <w:tc>
          <w:tcPr>
            <w:tcW w:w="897" w:type="dxa"/>
            <w:tcBorders>
              <w:top w:val="single" w:sz="4" w:space="0" w:color="BFBFBF"/>
              <w:left w:val="single" w:sz="4" w:space="0" w:color="BFBFBF"/>
              <w:bottom w:val="single" w:sz="4" w:space="0" w:color="BFBFBF"/>
              <w:right w:val="single" w:sz="4" w:space="0" w:color="BFBFBF"/>
            </w:tcBorders>
            <w:shd w:val="clear" w:color="auto" w:fill="F2F2F2"/>
            <w:hideMark/>
          </w:tcPr>
          <w:p w14:paraId="527730CA"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12.</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41979BF6"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Izrada popisa gospodarstava kojima je nužno navodnjavanje usjeva te određivanje prioriteta (OPG, vlasnici farmi, veći proizvođači i sl.)</w:t>
            </w:r>
          </w:p>
        </w:tc>
      </w:tr>
    </w:tbl>
    <w:p w14:paraId="6DDA670A" w14:textId="77777777" w:rsidR="00E732EF" w:rsidRPr="00E732EF" w:rsidRDefault="00E732EF" w:rsidP="00E732EF">
      <w:pPr>
        <w:spacing w:after="0"/>
        <w:rPr>
          <w:rFonts w:ascii="Times New Roman" w:eastAsia="Calibri" w:hAnsi="Times New Roman" w:cs="Times New Roman"/>
        </w:rPr>
      </w:pPr>
    </w:p>
    <w:p w14:paraId="6EAFD242" w14:textId="77777777" w:rsidR="00E732EF" w:rsidRPr="00E732EF" w:rsidRDefault="00E732EF" w:rsidP="00E732EF">
      <w:pPr>
        <w:spacing w:after="0"/>
        <w:rPr>
          <w:rFonts w:ascii="Times New Roman" w:eastAsia="Calibri" w:hAnsi="Times New Roman" w:cs="Times New Roman"/>
        </w:rPr>
      </w:pPr>
    </w:p>
    <w:p w14:paraId="6A220FE8" w14:textId="77777777" w:rsidR="00E732EF" w:rsidRPr="00E732EF" w:rsidRDefault="00E732EF" w:rsidP="00E732EF">
      <w:pPr>
        <w:spacing w:after="0"/>
        <w:rPr>
          <w:rFonts w:ascii="Times New Roman" w:eastAsia="Calibri" w:hAnsi="Times New Roman" w:cs="Times New Roman"/>
          <w:b/>
          <w:bCs/>
        </w:rPr>
      </w:pPr>
      <w:r w:rsidRPr="00E732EF">
        <w:rPr>
          <w:rFonts w:ascii="Times New Roman" w:eastAsia="Calibri" w:hAnsi="Times New Roman" w:cs="Times New Roman"/>
        </w:rPr>
        <w:t xml:space="preserve">2.1.2. </w:t>
      </w:r>
      <w:r w:rsidRPr="00E732EF">
        <w:rPr>
          <w:rFonts w:ascii="Times New Roman" w:eastAsia="Calibri" w:hAnsi="Times New Roman" w:cs="Times New Roman"/>
          <w:b/>
          <w:bCs/>
        </w:rPr>
        <w:t>OLUJNO I ORKANSKO NEVRIJEME</w:t>
      </w:r>
    </w:p>
    <w:p w14:paraId="37C920B5" w14:textId="77777777" w:rsidR="00E732EF" w:rsidRPr="00E732EF" w:rsidRDefault="00E732EF" w:rsidP="00E732EF">
      <w:pPr>
        <w:spacing w:after="0" w:line="240" w:lineRule="auto"/>
        <w:jc w:val="center"/>
        <w:rPr>
          <w:rFonts w:ascii="Calibri" w:eastAsia="Calibri" w:hAnsi="Calibri" w:cs="Times New Roman"/>
          <w:b/>
          <w:bCs/>
        </w:rPr>
      </w:pPr>
    </w:p>
    <w:p w14:paraId="39F88909"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 xml:space="preserve">Olujni vjetar, a ponekad i orkanski, udružen s velikom količinom oborine ili čak i tučom, osim što stvara velike štete na imovini, poljoprivrednim i šumarskim dobrima, raznim građevinskim objektima, u prometu te tako nanosi gubitke u gospodarstvu, ugrožava i često puta odnosi ljudske živote. Stoga je ovom poglavlju detaljnije analiziran vjetar kao jedan od čimbenika olujnog nevremena. </w:t>
      </w:r>
    </w:p>
    <w:p w14:paraId="0EADEA7A"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 xml:space="preserve">Mjereni podaci vjetra pomoću električnog ili digitalnog anemografa (brzina i smjer vjetra te maksimalni udari vjetra) u meteorološkoj službi prikupljaju se u relativno rijetkoj mreži točaka. Postojeća mreža mjernih točaka odabrana je tako da omogućuje dobivanje općih karakteristika strujanja većih razmjera na visini od </w:t>
      </w:r>
      <w:smartTag w:uri="urn:schemas-microsoft-com:office:smarttags" w:element="metricconverter">
        <w:smartTagPr>
          <w:attr w:name="ProductID" w:val="10 m"/>
        </w:smartTagPr>
        <w:r w:rsidRPr="00E732EF">
          <w:rPr>
            <w:rFonts w:ascii="Times New Roman" w:eastAsia="Calibri" w:hAnsi="Times New Roman" w:cs="Times New Roman"/>
            <w:noProof/>
          </w:rPr>
          <w:t>10 m</w:t>
        </w:r>
      </w:smartTag>
      <w:r w:rsidRPr="00E732EF">
        <w:rPr>
          <w:rFonts w:ascii="Times New Roman" w:eastAsia="Calibri" w:hAnsi="Times New Roman" w:cs="Times New Roman"/>
          <w:noProof/>
        </w:rPr>
        <w:t xml:space="preserve"> iznad tla. Međutim, reprezentativnost vrijednosti u nekoj točki za šire područje ovisi o konfiguraciji terena, hrapavosti terena i blizini zaklona oko anemografa.</w:t>
      </w:r>
    </w:p>
    <w:p w14:paraId="4108F362"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Za nadopunu vjetrovnog režima na meteorološkim postajama motritelji i opažaju smjer i jačinu vjetra. Jačina vjetra procjenjuje se vizualno prema učincima vjetra na predmetima u prirodi u tri klimatološka termina (7, 14 i 21 sat) i izražava se u stupnjevima Beaufortove ljestvice. Ona sadrži od 0 do 12 Bf (bofora) kojima su pridružene odgovarajuće srednje brzine vjetra.</w:t>
      </w:r>
    </w:p>
    <w:p w14:paraId="0F6DBEC3" w14:textId="77777777" w:rsidR="00E732EF" w:rsidRPr="00E732EF" w:rsidRDefault="00E732EF" w:rsidP="00E732EF">
      <w:pPr>
        <w:spacing w:after="0" w:line="240" w:lineRule="auto"/>
        <w:jc w:val="both"/>
        <w:rPr>
          <w:rFonts w:ascii="Times New Roman" w:eastAsia="Calibri" w:hAnsi="Times New Roman" w:cs="Times New Roman"/>
          <w:noProof/>
        </w:rPr>
      </w:pPr>
    </w:p>
    <w:p w14:paraId="003BEF3F"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 xml:space="preserve">Smjer vjetra određuje se također vizualno pomoću vjetrulje koja ima označena samo četiri smjera. Motritelj je dužan ocijeniti smjer vjetra na jedan od 16 mogućih smjerova i označiti ga stranom </w:t>
      </w:r>
      <w:r w:rsidR="00235E05">
        <w:rPr>
          <w:rFonts w:ascii="Times New Roman" w:eastAsia="Calibri" w:hAnsi="Times New Roman" w:cs="Times New Roman"/>
          <w:noProof/>
        </w:rPr>
        <w:t>svijeta odakle vjetar puše. Za O</w:t>
      </w:r>
      <w:r w:rsidRPr="00E732EF">
        <w:rPr>
          <w:rFonts w:ascii="Times New Roman" w:eastAsia="Calibri" w:hAnsi="Times New Roman" w:cs="Times New Roman"/>
          <w:noProof/>
        </w:rPr>
        <w:t>pćinu Sveti Juraj na Bregu odabrana je referentna meteorološka postaja Čakovec,  a za  promatrano razdoblje 1981.–2000. analizirani su opaženi podaci jačine i smjera vjetra. Postaja Čakovec je anemografska postaja smještena na ravnom terenu na kojoj se mjeri brzina i smjer vjetra te su analizirani raspoloživi podaci iz razdoblja 1995–2005.</w:t>
      </w:r>
    </w:p>
    <w:p w14:paraId="16560467" w14:textId="77777777" w:rsidR="00E732EF" w:rsidRPr="00E732EF" w:rsidRDefault="00E732EF" w:rsidP="00E732EF">
      <w:pPr>
        <w:spacing w:after="0" w:line="240" w:lineRule="auto"/>
        <w:jc w:val="both"/>
        <w:rPr>
          <w:rFonts w:ascii="Times New Roman" w:eastAsia="Calibri" w:hAnsi="Times New Roman" w:cs="Times New Roman"/>
          <w:noProof/>
        </w:rPr>
      </w:pPr>
    </w:p>
    <w:p w14:paraId="7CF3A5F4" w14:textId="77777777" w:rsidR="00E732EF" w:rsidRPr="00E732EF" w:rsidRDefault="00E732EF" w:rsidP="00E732EF">
      <w:pPr>
        <w:spacing w:after="0" w:line="240" w:lineRule="auto"/>
        <w:jc w:val="both"/>
        <w:rPr>
          <w:rFonts w:ascii="Times New Roman" w:eastAsia="Calibri" w:hAnsi="Times New Roman" w:cs="Times New Roman"/>
          <w:noProof/>
        </w:rPr>
      </w:pPr>
    </w:p>
    <w:p w14:paraId="2A32753D" w14:textId="77777777" w:rsidR="00E732EF" w:rsidRPr="00E732EF" w:rsidRDefault="00E732EF" w:rsidP="00E732EF">
      <w:pPr>
        <w:spacing w:after="0" w:line="288" w:lineRule="auto"/>
        <w:ind w:left="2112" w:firstLine="720"/>
        <w:jc w:val="both"/>
        <w:rPr>
          <w:rFonts w:ascii="Times New Roman" w:eastAsia="Times New Roman" w:hAnsi="Times New Roman" w:cs="Times New Roman"/>
          <w:noProof/>
          <w:szCs w:val="20"/>
        </w:rPr>
      </w:pPr>
      <w:r w:rsidRPr="00E732EF">
        <w:rPr>
          <w:rFonts w:ascii="Times New Roman" w:eastAsia="Times New Roman" w:hAnsi="Times New Roman" w:cs="Times New Roman"/>
          <w:b/>
          <w:noProof/>
          <w:szCs w:val="20"/>
        </w:rPr>
        <w:lastRenderedPageBreak/>
        <w:t>BEAUFORTOVA LJESTVICA</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359"/>
        <w:gridCol w:w="2214"/>
        <w:gridCol w:w="1687"/>
      </w:tblGrid>
      <w:tr w:rsidR="00E732EF" w:rsidRPr="00E732EF" w14:paraId="67485A96" w14:textId="77777777" w:rsidTr="00E732EF">
        <w:trPr>
          <w:jc w:val="center"/>
        </w:trPr>
        <w:tc>
          <w:tcPr>
            <w:tcW w:w="1359" w:type="dxa"/>
            <w:tcBorders>
              <w:top w:val="double" w:sz="2" w:space="0" w:color="auto"/>
              <w:left w:val="double" w:sz="2" w:space="0" w:color="auto"/>
              <w:bottom w:val="double" w:sz="2" w:space="0" w:color="auto"/>
              <w:right w:val="double" w:sz="2" w:space="0" w:color="auto"/>
            </w:tcBorders>
            <w:shd w:val="clear" w:color="auto" w:fill="DBE5F1"/>
            <w:vAlign w:val="center"/>
          </w:tcPr>
          <w:p w14:paraId="6CC86AEA" w14:textId="77777777" w:rsidR="00E732EF" w:rsidRPr="00E732EF" w:rsidRDefault="00E732EF" w:rsidP="00E732EF">
            <w:pPr>
              <w:spacing w:after="0" w:line="240" w:lineRule="auto"/>
              <w:jc w:val="center"/>
              <w:rPr>
                <w:rFonts w:ascii="Times New Roman" w:eastAsia="Calibri" w:hAnsi="Times New Roman" w:cs="Arial"/>
                <w:b/>
                <w:bCs/>
                <w:noProof/>
                <w:sz w:val="20"/>
                <w:szCs w:val="20"/>
              </w:rPr>
            </w:pPr>
            <w:r w:rsidRPr="00E732EF">
              <w:rPr>
                <w:rFonts w:ascii="Times New Roman" w:eastAsia="Calibri" w:hAnsi="Times New Roman" w:cs="Arial"/>
                <w:b/>
                <w:bCs/>
                <w:noProof/>
                <w:sz w:val="20"/>
                <w:szCs w:val="20"/>
              </w:rPr>
              <w:t>Beauforti (Bf)</w:t>
            </w:r>
          </w:p>
        </w:tc>
        <w:tc>
          <w:tcPr>
            <w:tcW w:w="2214" w:type="dxa"/>
            <w:tcBorders>
              <w:top w:val="double" w:sz="2" w:space="0" w:color="auto"/>
              <w:left w:val="double" w:sz="2" w:space="0" w:color="auto"/>
              <w:bottom w:val="double" w:sz="2" w:space="0" w:color="auto"/>
              <w:right w:val="double" w:sz="2" w:space="0" w:color="auto"/>
            </w:tcBorders>
            <w:shd w:val="clear" w:color="auto" w:fill="DBE5F1"/>
            <w:vAlign w:val="center"/>
          </w:tcPr>
          <w:p w14:paraId="5FBA9754" w14:textId="77777777" w:rsidR="00E732EF" w:rsidRPr="00E732EF" w:rsidRDefault="00E732EF" w:rsidP="00E732EF">
            <w:pPr>
              <w:spacing w:after="0" w:line="240" w:lineRule="auto"/>
              <w:jc w:val="center"/>
              <w:rPr>
                <w:rFonts w:ascii="Times New Roman" w:eastAsia="Calibri" w:hAnsi="Times New Roman" w:cs="Arial"/>
                <w:b/>
                <w:bCs/>
                <w:noProof/>
                <w:sz w:val="20"/>
                <w:szCs w:val="20"/>
              </w:rPr>
            </w:pPr>
            <w:r w:rsidRPr="00E732EF">
              <w:rPr>
                <w:rFonts w:ascii="Times New Roman" w:eastAsia="Calibri" w:hAnsi="Times New Roman" w:cs="Arial"/>
                <w:b/>
                <w:bCs/>
                <w:noProof/>
                <w:sz w:val="20"/>
                <w:szCs w:val="20"/>
              </w:rPr>
              <w:t>Naziv</w:t>
            </w:r>
          </w:p>
        </w:tc>
        <w:tc>
          <w:tcPr>
            <w:tcW w:w="1687" w:type="dxa"/>
            <w:tcBorders>
              <w:top w:val="double" w:sz="2" w:space="0" w:color="auto"/>
              <w:left w:val="double" w:sz="2" w:space="0" w:color="auto"/>
              <w:bottom w:val="double" w:sz="2" w:space="0" w:color="auto"/>
              <w:right w:val="double" w:sz="2" w:space="0" w:color="auto"/>
            </w:tcBorders>
            <w:shd w:val="clear" w:color="auto" w:fill="DBE5F1"/>
            <w:vAlign w:val="center"/>
          </w:tcPr>
          <w:p w14:paraId="144C6954" w14:textId="77777777" w:rsidR="00E732EF" w:rsidRPr="00E732EF" w:rsidRDefault="00E732EF" w:rsidP="00E732EF">
            <w:pPr>
              <w:spacing w:after="0" w:line="240" w:lineRule="auto"/>
              <w:jc w:val="center"/>
              <w:rPr>
                <w:rFonts w:ascii="Times New Roman" w:eastAsia="Calibri" w:hAnsi="Times New Roman" w:cs="Arial"/>
                <w:b/>
                <w:bCs/>
                <w:noProof/>
                <w:sz w:val="20"/>
                <w:szCs w:val="20"/>
              </w:rPr>
            </w:pPr>
            <w:r w:rsidRPr="00E732EF">
              <w:rPr>
                <w:rFonts w:ascii="Times New Roman" w:eastAsia="Calibri" w:hAnsi="Times New Roman" w:cs="Arial"/>
                <w:b/>
                <w:bCs/>
                <w:noProof/>
                <w:sz w:val="20"/>
                <w:szCs w:val="20"/>
              </w:rPr>
              <w:t>Razred brzine</w:t>
            </w:r>
          </w:p>
          <w:p w14:paraId="52718000" w14:textId="77777777" w:rsidR="00E732EF" w:rsidRPr="00E732EF" w:rsidRDefault="00E732EF" w:rsidP="00E732EF">
            <w:pPr>
              <w:spacing w:after="0" w:line="240" w:lineRule="auto"/>
              <w:jc w:val="center"/>
              <w:rPr>
                <w:rFonts w:ascii="Times New Roman" w:eastAsia="Calibri" w:hAnsi="Times New Roman" w:cs="Arial"/>
                <w:b/>
                <w:bCs/>
                <w:noProof/>
                <w:sz w:val="20"/>
                <w:szCs w:val="20"/>
              </w:rPr>
            </w:pPr>
            <w:r w:rsidRPr="00E732EF">
              <w:rPr>
                <w:rFonts w:ascii="Times New Roman" w:eastAsia="Calibri" w:hAnsi="Times New Roman" w:cs="Arial"/>
                <w:b/>
                <w:bCs/>
                <w:noProof/>
                <w:sz w:val="20"/>
                <w:szCs w:val="20"/>
              </w:rPr>
              <w:t>(m/s)</w:t>
            </w:r>
          </w:p>
        </w:tc>
      </w:tr>
      <w:tr w:rsidR="00E732EF" w:rsidRPr="00E732EF" w14:paraId="1F3391EB" w14:textId="77777777" w:rsidTr="00E732EF">
        <w:trPr>
          <w:jc w:val="center"/>
        </w:trPr>
        <w:tc>
          <w:tcPr>
            <w:tcW w:w="1359" w:type="dxa"/>
            <w:tcBorders>
              <w:top w:val="double" w:sz="2" w:space="0" w:color="auto"/>
              <w:left w:val="double" w:sz="2" w:space="0" w:color="auto"/>
              <w:bottom w:val="single" w:sz="6" w:space="0" w:color="auto"/>
              <w:right w:val="double" w:sz="2" w:space="0" w:color="auto"/>
            </w:tcBorders>
            <w:shd w:val="clear" w:color="auto" w:fill="B8CCE4"/>
            <w:vAlign w:val="center"/>
          </w:tcPr>
          <w:p w14:paraId="5DC81D7C"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0</w:t>
            </w:r>
          </w:p>
        </w:tc>
        <w:tc>
          <w:tcPr>
            <w:tcW w:w="2214" w:type="dxa"/>
            <w:tcBorders>
              <w:top w:val="double" w:sz="2" w:space="0" w:color="auto"/>
              <w:left w:val="double" w:sz="2" w:space="0" w:color="auto"/>
              <w:bottom w:val="single" w:sz="6" w:space="0" w:color="auto"/>
              <w:right w:val="double" w:sz="2" w:space="0" w:color="auto"/>
            </w:tcBorders>
            <w:vAlign w:val="center"/>
          </w:tcPr>
          <w:p w14:paraId="611FF496" w14:textId="77777777" w:rsidR="00E732EF" w:rsidRPr="00E732EF" w:rsidRDefault="00E732EF" w:rsidP="00E732EF">
            <w:pPr>
              <w:spacing w:after="0" w:line="240" w:lineRule="auto"/>
              <w:rPr>
                <w:rFonts w:ascii="Times New Roman" w:eastAsia="Calibri" w:hAnsi="Times New Roman" w:cs="Arial"/>
                <w:noProof/>
                <w:sz w:val="20"/>
                <w:szCs w:val="20"/>
              </w:rPr>
            </w:pPr>
            <w:r w:rsidRPr="00E732EF">
              <w:rPr>
                <w:rFonts w:ascii="Times New Roman" w:eastAsia="Calibri" w:hAnsi="Times New Roman" w:cs="Arial"/>
                <w:noProof/>
                <w:sz w:val="20"/>
                <w:szCs w:val="20"/>
              </w:rPr>
              <w:t>tišina</w:t>
            </w:r>
          </w:p>
        </w:tc>
        <w:tc>
          <w:tcPr>
            <w:tcW w:w="1687" w:type="dxa"/>
            <w:tcBorders>
              <w:top w:val="double" w:sz="2" w:space="0" w:color="auto"/>
              <w:left w:val="double" w:sz="2" w:space="0" w:color="auto"/>
              <w:bottom w:val="single" w:sz="6" w:space="0" w:color="auto"/>
              <w:right w:val="double" w:sz="2" w:space="0" w:color="auto"/>
            </w:tcBorders>
            <w:vAlign w:val="center"/>
          </w:tcPr>
          <w:p w14:paraId="21F716D4"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0.0-0.2</w:t>
            </w:r>
          </w:p>
        </w:tc>
      </w:tr>
      <w:tr w:rsidR="00E732EF" w:rsidRPr="00E732EF" w14:paraId="26B8A69F" w14:textId="77777777" w:rsidTr="00E732EF">
        <w:trPr>
          <w:jc w:val="center"/>
        </w:trPr>
        <w:tc>
          <w:tcPr>
            <w:tcW w:w="1359" w:type="dxa"/>
            <w:tcBorders>
              <w:top w:val="single" w:sz="6" w:space="0" w:color="auto"/>
              <w:left w:val="double" w:sz="2" w:space="0" w:color="auto"/>
              <w:bottom w:val="single" w:sz="6" w:space="0" w:color="auto"/>
              <w:right w:val="double" w:sz="2" w:space="0" w:color="auto"/>
            </w:tcBorders>
            <w:shd w:val="clear" w:color="auto" w:fill="B8CCE4"/>
            <w:vAlign w:val="center"/>
          </w:tcPr>
          <w:p w14:paraId="1871A21D"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1</w:t>
            </w:r>
          </w:p>
        </w:tc>
        <w:tc>
          <w:tcPr>
            <w:tcW w:w="2214" w:type="dxa"/>
            <w:tcBorders>
              <w:top w:val="single" w:sz="6" w:space="0" w:color="auto"/>
              <w:left w:val="double" w:sz="2" w:space="0" w:color="auto"/>
              <w:bottom w:val="single" w:sz="6" w:space="0" w:color="auto"/>
              <w:right w:val="double" w:sz="2" w:space="0" w:color="auto"/>
            </w:tcBorders>
            <w:vAlign w:val="center"/>
          </w:tcPr>
          <w:p w14:paraId="5A64FFC9" w14:textId="77777777" w:rsidR="00E732EF" w:rsidRPr="00E732EF" w:rsidRDefault="00E732EF" w:rsidP="00E732EF">
            <w:pPr>
              <w:spacing w:after="0" w:line="240" w:lineRule="auto"/>
              <w:rPr>
                <w:rFonts w:ascii="Times New Roman" w:eastAsia="Calibri" w:hAnsi="Times New Roman" w:cs="Arial"/>
                <w:noProof/>
                <w:sz w:val="20"/>
                <w:szCs w:val="20"/>
              </w:rPr>
            </w:pPr>
            <w:r w:rsidRPr="00E732EF">
              <w:rPr>
                <w:rFonts w:ascii="Times New Roman" w:eastAsia="Calibri" w:hAnsi="Times New Roman" w:cs="Arial"/>
                <w:noProof/>
                <w:sz w:val="20"/>
                <w:szCs w:val="20"/>
              </w:rPr>
              <w:t>lagan povjetarac</w:t>
            </w:r>
          </w:p>
        </w:tc>
        <w:tc>
          <w:tcPr>
            <w:tcW w:w="1687" w:type="dxa"/>
            <w:tcBorders>
              <w:top w:val="single" w:sz="6" w:space="0" w:color="auto"/>
              <w:left w:val="double" w:sz="2" w:space="0" w:color="auto"/>
              <w:bottom w:val="single" w:sz="6" w:space="0" w:color="auto"/>
              <w:right w:val="double" w:sz="2" w:space="0" w:color="auto"/>
            </w:tcBorders>
            <w:vAlign w:val="center"/>
          </w:tcPr>
          <w:p w14:paraId="6FB5A645"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0.3-1.5</w:t>
            </w:r>
          </w:p>
        </w:tc>
      </w:tr>
      <w:tr w:rsidR="00E732EF" w:rsidRPr="00E732EF" w14:paraId="454D73F3" w14:textId="77777777" w:rsidTr="00E732EF">
        <w:trPr>
          <w:jc w:val="center"/>
        </w:trPr>
        <w:tc>
          <w:tcPr>
            <w:tcW w:w="1359" w:type="dxa"/>
            <w:tcBorders>
              <w:top w:val="single" w:sz="6" w:space="0" w:color="auto"/>
              <w:left w:val="double" w:sz="2" w:space="0" w:color="auto"/>
              <w:bottom w:val="single" w:sz="6" w:space="0" w:color="auto"/>
              <w:right w:val="double" w:sz="2" w:space="0" w:color="auto"/>
            </w:tcBorders>
            <w:shd w:val="clear" w:color="auto" w:fill="B8CCE4"/>
            <w:vAlign w:val="center"/>
          </w:tcPr>
          <w:p w14:paraId="14DCD77D"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2</w:t>
            </w:r>
          </w:p>
        </w:tc>
        <w:tc>
          <w:tcPr>
            <w:tcW w:w="2214" w:type="dxa"/>
            <w:tcBorders>
              <w:top w:val="single" w:sz="6" w:space="0" w:color="auto"/>
              <w:left w:val="double" w:sz="2" w:space="0" w:color="auto"/>
              <w:bottom w:val="single" w:sz="6" w:space="0" w:color="auto"/>
              <w:right w:val="double" w:sz="2" w:space="0" w:color="auto"/>
            </w:tcBorders>
            <w:vAlign w:val="center"/>
          </w:tcPr>
          <w:p w14:paraId="774392F3" w14:textId="77777777" w:rsidR="00E732EF" w:rsidRPr="00E732EF" w:rsidRDefault="00E732EF" w:rsidP="00E732EF">
            <w:pPr>
              <w:spacing w:after="0" w:line="240" w:lineRule="auto"/>
              <w:rPr>
                <w:rFonts w:ascii="Times New Roman" w:eastAsia="Calibri" w:hAnsi="Times New Roman" w:cs="Arial"/>
                <w:noProof/>
                <w:sz w:val="20"/>
                <w:szCs w:val="20"/>
              </w:rPr>
            </w:pPr>
            <w:r w:rsidRPr="00E732EF">
              <w:rPr>
                <w:rFonts w:ascii="Times New Roman" w:eastAsia="Calibri" w:hAnsi="Times New Roman" w:cs="Arial"/>
                <w:noProof/>
                <w:sz w:val="20"/>
                <w:szCs w:val="20"/>
              </w:rPr>
              <w:t>povjetarac</w:t>
            </w:r>
          </w:p>
        </w:tc>
        <w:tc>
          <w:tcPr>
            <w:tcW w:w="1687" w:type="dxa"/>
            <w:tcBorders>
              <w:top w:val="single" w:sz="6" w:space="0" w:color="auto"/>
              <w:left w:val="double" w:sz="2" w:space="0" w:color="auto"/>
              <w:bottom w:val="single" w:sz="6" w:space="0" w:color="auto"/>
              <w:right w:val="double" w:sz="2" w:space="0" w:color="auto"/>
            </w:tcBorders>
            <w:vAlign w:val="center"/>
          </w:tcPr>
          <w:p w14:paraId="76696B7C"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1.6-3.3</w:t>
            </w:r>
          </w:p>
        </w:tc>
      </w:tr>
      <w:tr w:rsidR="00E732EF" w:rsidRPr="00E732EF" w14:paraId="6F1EE9AC" w14:textId="77777777" w:rsidTr="00E732EF">
        <w:trPr>
          <w:jc w:val="center"/>
        </w:trPr>
        <w:tc>
          <w:tcPr>
            <w:tcW w:w="1359" w:type="dxa"/>
            <w:tcBorders>
              <w:top w:val="single" w:sz="6" w:space="0" w:color="auto"/>
              <w:left w:val="double" w:sz="2" w:space="0" w:color="auto"/>
              <w:bottom w:val="single" w:sz="6" w:space="0" w:color="auto"/>
              <w:right w:val="double" w:sz="2" w:space="0" w:color="auto"/>
            </w:tcBorders>
            <w:shd w:val="clear" w:color="auto" w:fill="B8CCE4"/>
            <w:vAlign w:val="center"/>
          </w:tcPr>
          <w:p w14:paraId="47660D84"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3</w:t>
            </w:r>
          </w:p>
        </w:tc>
        <w:tc>
          <w:tcPr>
            <w:tcW w:w="2214" w:type="dxa"/>
            <w:tcBorders>
              <w:top w:val="single" w:sz="6" w:space="0" w:color="auto"/>
              <w:left w:val="double" w:sz="2" w:space="0" w:color="auto"/>
              <w:bottom w:val="single" w:sz="6" w:space="0" w:color="auto"/>
              <w:right w:val="double" w:sz="2" w:space="0" w:color="auto"/>
            </w:tcBorders>
            <w:vAlign w:val="center"/>
          </w:tcPr>
          <w:p w14:paraId="31214B6F" w14:textId="77777777" w:rsidR="00E732EF" w:rsidRPr="00E732EF" w:rsidRDefault="00E732EF" w:rsidP="00E732EF">
            <w:pPr>
              <w:spacing w:after="0" w:line="240" w:lineRule="auto"/>
              <w:rPr>
                <w:rFonts w:ascii="Times New Roman" w:eastAsia="Calibri" w:hAnsi="Times New Roman" w:cs="Arial"/>
                <w:noProof/>
                <w:sz w:val="20"/>
                <w:szCs w:val="20"/>
              </w:rPr>
            </w:pPr>
            <w:r w:rsidRPr="00E732EF">
              <w:rPr>
                <w:rFonts w:ascii="Times New Roman" w:eastAsia="Calibri" w:hAnsi="Times New Roman" w:cs="Arial"/>
                <w:noProof/>
                <w:sz w:val="20"/>
                <w:szCs w:val="20"/>
              </w:rPr>
              <w:t>slab vjetar</w:t>
            </w:r>
          </w:p>
        </w:tc>
        <w:tc>
          <w:tcPr>
            <w:tcW w:w="1687" w:type="dxa"/>
            <w:tcBorders>
              <w:top w:val="single" w:sz="6" w:space="0" w:color="auto"/>
              <w:left w:val="double" w:sz="2" w:space="0" w:color="auto"/>
              <w:bottom w:val="single" w:sz="6" w:space="0" w:color="auto"/>
              <w:right w:val="double" w:sz="2" w:space="0" w:color="auto"/>
            </w:tcBorders>
            <w:vAlign w:val="center"/>
          </w:tcPr>
          <w:p w14:paraId="6557A9EE"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3.4-5.4</w:t>
            </w:r>
          </w:p>
        </w:tc>
      </w:tr>
      <w:tr w:rsidR="00E732EF" w:rsidRPr="00E732EF" w14:paraId="5FF9604C" w14:textId="77777777" w:rsidTr="00E732EF">
        <w:trPr>
          <w:jc w:val="center"/>
        </w:trPr>
        <w:tc>
          <w:tcPr>
            <w:tcW w:w="1359" w:type="dxa"/>
            <w:tcBorders>
              <w:top w:val="single" w:sz="6" w:space="0" w:color="auto"/>
              <w:left w:val="double" w:sz="2" w:space="0" w:color="auto"/>
              <w:bottom w:val="single" w:sz="6" w:space="0" w:color="auto"/>
              <w:right w:val="double" w:sz="2" w:space="0" w:color="auto"/>
            </w:tcBorders>
            <w:shd w:val="clear" w:color="auto" w:fill="B8CCE4"/>
            <w:vAlign w:val="center"/>
          </w:tcPr>
          <w:p w14:paraId="0FF76000"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4</w:t>
            </w:r>
          </w:p>
        </w:tc>
        <w:tc>
          <w:tcPr>
            <w:tcW w:w="2214" w:type="dxa"/>
            <w:tcBorders>
              <w:top w:val="single" w:sz="6" w:space="0" w:color="auto"/>
              <w:left w:val="double" w:sz="2" w:space="0" w:color="auto"/>
              <w:bottom w:val="single" w:sz="6" w:space="0" w:color="auto"/>
              <w:right w:val="double" w:sz="2" w:space="0" w:color="auto"/>
            </w:tcBorders>
            <w:vAlign w:val="center"/>
          </w:tcPr>
          <w:p w14:paraId="202AA4DD" w14:textId="77777777" w:rsidR="00E732EF" w:rsidRPr="00E732EF" w:rsidRDefault="00E732EF" w:rsidP="00E732EF">
            <w:pPr>
              <w:spacing w:after="0" w:line="240" w:lineRule="auto"/>
              <w:rPr>
                <w:rFonts w:ascii="Times New Roman" w:eastAsia="Calibri" w:hAnsi="Times New Roman" w:cs="Arial"/>
                <w:noProof/>
                <w:sz w:val="20"/>
                <w:szCs w:val="20"/>
              </w:rPr>
            </w:pPr>
            <w:r w:rsidRPr="00E732EF">
              <w:rPr>
                <w:rFonts w:ascii="Times New Roman" w:eastAsia="Calibri" w:hAnsi="Times New Roman" w:cs="Arial"/>
                <w:noProof/>
                <w:sz w:val="20"/>
                <w:szCs w:val="20"/>
              </w:rPr>
              <w:t>umjeren vjetar</w:t>
            </w:r>
          </w:p>
        </w:tc>
        <w:tc>
          <w:tcPr>
            <w:tcW w:w="1687" w:type="dxa"/>
            <w:tcBorders>
              <w:top w:val="single" w:sz="6" w:space="0" w:color="auto"/>
              <w:left w:val="double" w:sz="2" w:space="0" w:color="auto"/>
              <w:bottom w:val="single" w:sz="6" w:space="0" w:color="auto"/>
              <w:right w:val="double" w:sz="2" w:space="0" w:color="auto"/>
            </w:tcBorders>
            <w:vAlign w:val="center"/>
          </w:tcPr>
          <w:p w14:paraId="1F0362FE"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5.5-7.9</w:t>
            </w:r>
          </w:p>
        </w:tc>
      </w:tr>
      <w:tr w:rsidR="00E732EF" w:rsidRPr="00E732EF" w14:paraId="490192DD" w14:textId="77777777" w:rsidTr="00E732EF">
        <w:trPr>
          <w:jc w:val="center"/>
        </w:trPr>
        <w:tc>
          <w:tcPr>
            <w:tcW w:w="1359" w:type="dxa"/>
            <w:tcBorders>
              <w:top w:val="single" w:sz="6" w:space="0" w:color="auto"/>
              <w:left w:val="double" w:sz="2" w:space="0" w:color="auto"/>
              <w:bottom w:val="single" w:sz="6" w:space="0" w:color="auto"/>
              <w:right w:val="double" w:sz="2" w:space="0" w:color="auto"/>
            </w:tcBorders>
            <w:shd w:val="clear" w:color="auto" w:fill="B8CCE4"/>
            <w:vAlign w:val="center"/>
          </w:tcPr>
          <w:p w14:paraId="7CF01C05"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5</w:t>
            </w:r>
          </w:p>
        </w:tc>
        <w:tc>
          <w:tcPr>
            <w:tcW w:w="2214" w:type="dxa"/>
            <w:tcBorders>
              <w:top w:val="single" w:sz="6" w:space="0" w:color="auto"/>
              <w:left w:val="double" w:sz="2" w:space="0" w:color="auto"/>
              <w:bottom w:val="single" w:sz="6" w:space="0" w:color="auto"/>
              <w:right w:val="double" w:sz="2" w:space="0" w:color="auto"/>
            </w:tcBorders>
            <w:vAlign w:val="center"/>
          </w:tcPr>
          <w:p w14:paraId="226FF8E9" w14:textId="77777777" w:rsidR="00E732EF" w:rsidRPr="00E732EF" w:rsidRDefault="00E732EF" w:rsidP="00E732EF">
            <w:pPr>
              <w:spacing w:after="0" w:line="240" w:lineRule="auto"/>
              <w:rPr>
                <w:rFonts w:ascii="Times New Roman" w:eastAsia="Calibri" w:hAnsi="Times New Roman" w:cs="Arial"/>
                <w:noProof/>
                <w:sz w:val="20"/>
                <w:szCs w:val="20"/>
              </w:rPr>
            </w:pPr>
            <w:r w:rsidRPr="00E732EF">
              <w:rPr>
                <w:rFonts w:ascii="Times New Roman" w:eastAsia="Calibri" w:hAnsi="Times New Roman" w:cs="Arial"/>
                <w:noProof/>
                <w:sz w:val="20"/>
                <w:szCs w:val="20"/>
              </w:rPr>
              <w:t>umjereno jak vjetar</w:t>
            </w:r>
          </w:p>
        </w:tc>
        <w:tc>
          <w:tcPr>
            <w:tcW w:w="1687" w:type="dxa"/>
            <w:tcBorders>
              <w:top w:val="single" w:sz="6" w:space="0" w:color="auto"/>
              <w:left w:val="double" w:sz="2" w:space="0" w:color="auto"/>
              <w:bottom w:val="single" w:sz="6" w:space="0" w:color="auto"/>
              <w:right w:val="double" w:sz="2" w:space="0" w:color="auto"/>
            </w:tcBorders>
            <w:vAlign w:val="center"/>
          </w:tcPr>
          <w:p w14:paraId="3CACB752"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8.0-10.7</w:t>
            </w:r>
          </w:p>
        </w:tc>
      </w:tr>
      <w:tr w:rsidR="00E732EF" w:rsidRPr="00E732EF" w14:paraId="0D758236" w14:textId="77777777" w:rsidTr="00E732EF">
        <w:trPr>
          <w:jc w:val="center"/>
        </w:trPr>
        <w:tc>
          <w:tcPr>
            <w:tcW w:w="1359" w:type="dxa"/>
            <w:tcBorders>
              <w:top w:val="single" w:sz="6" w:space="0" w:color="auto"/>
              <w:left w:val="double" w:sz="2" w:space="0" w:color="auto"/>
              <w:bottom w:val="single" w:sz="6" w:space="0" w:color="auto"/>
              <w:right w:val="double" w:sz="2" w:space="0" w:color="auto"/>
            </w:tcBorders>
            <w:shd w:val="clear" w:color="auto" w:fill="B8CCE4"/>
            <w:vAlign w:val="center"/>
          </w:tcPr>
          <w:p w14:paraId="5C6C0C76"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6</w:t>
            </w:r>
          </w:p>
        </w:tc>
        <w:tc>
          <w:tcPr>
            <w:tcW w:w="2214" w:type="dxa"/>
            <w:tcBorders>
              <w:top w:val="single" w:sz="6" w:space="0" w:color="auto"/>
              <w:left w:val="double" w:sz="2" w:space="0" w:color="auto"/>
              <w:bottom w:val="single" w:sz="6" w:space="0" w:color="auto"/>
              <w:right w:val="double" w:sz="2" w:space="0" w:color="auto"/>
            </w:tcBorders>
            <w:vAlign w:val="center"/>
          </w:tcPr>
          <w:p w14:paraId="38270573" w14:textId="77777777" w:rsidR="00E732EF" w:rsidRPr="00E732EF" w:rsidRDefault="00E732EF" w:rsidP="00E732EF">
            <w:pPr>
              <w:spacing w:after="0" w:line="240" w:lineRule="auto"/>
              <w:rPr>
                <w:rFonts w:ascii="Times New Roman" w:eastAsia="Calibri" w:hAnsi="Times New Roman" w:cs="Arial"/>
                <w:noProof/>
                <w:sz w:val="20"/>
                <w:szCs w:val="20"/>
              </w:rPr>
            </w:pPr>
            <w:r w:rsidRPr="00E732EF">
              <w:rPr>
                <w:rFonts w:ascii="Times New Roman" w:eastAsia="Calibri" w:hAnsi="Times New Roman" w:cs="Arial"/>
                <w:noProof/>
                <w:sz w:val="20"/>
                <w:szCs w:val="20"/>
              </w:rPr>
              <w:t>jak vjetar</w:t>
            </w:r>
          </w:p>
        </w:tc>
        <w:tc>
          <w:tcPr>
            <w:tcW w:w="1687" w:type="dxa"/>
            <w:tcBorders>
              <w:top w:val="single" w:sz="6" w:space="0" w:color="auto"/>
              <w:left w:val="double" w:sz="2" w:space="0" w:color="auto"/>
              <w:bottom w:val="single" w:sz="6" w:space="0" w:color="auto"/>
              <w:right w:val="double" w:sz="2" w:space="0" w:color="auto"/>
            </w:tcBorders>
            <w:vAlign w:val="center"/>
          </w:tcPr>
          <w:p w14:paraId="4C08ECE9"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10.8-13.8</w:t>
            </w:r>
          </w:p>
        </w:tc>
      </w:tr>
      <w:tr w:rsidR="00E732EF" w:rsidRPr="00E732EF" w14:paraId="69E7716B" w14:textId="77777777" w:rsidTr="00E732EF">
        <w:trPr>
          <w:jc w:val="center"/>
        </w:trPr>
        <w:tc>
          <w:tcPr>
            <w:tcW w:w="1359" w:type="dxa"/>
            <w:tcBorders>
              <w:top w:val="single" w:sz="6" w:space="0" w:color="auto"/>
              <w:left w:val="double" w:sz="2" w:space="0" w:color="auto"/>
              <w:bottom w:val="single" w:sz="6" w:space="0" w:color="auto"/>
              <w:right w:val="double" w:sz="2" w:space="0" w:color="auto"/>
            </w:tcBorders>
            <w:shd w:val="clear" w:color="auto" w:fill="B8CCE4"/>
            <w:vAlign w:val="center"/>
          </w:tcPr>
          <w:p w14:paraId="701103BE"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7</w:t>
            </w:r>
          </w:p>
        </w:tc>
        <w:tc>
          <w:tcPr>
            <w:tcW w:w="2214" w:type="dxa"/>
            <w:tcBorders>
              <w:top w:val="single" w:sz="6" w:space="0" w:color="auto"/>
              <w:left w:val="double" w:sz="2" w:space="0" w:color="auto"/>
              <w:bottom w:val="single" w:sz="6" w:space="0" w:color="auto"/>
              <w:right w:val="double" w:sz="2" w:space="0" w:color="auto"/>
            </w:tcBorders>
            <w:vAlign w:val="center"/>
          </w:tcPr>
          <w:p w14:paraId="57C97DB8" w14:textId="77777777" w:rsidR="00E732EF" w:rsidRPr="00E732EF" w:rsidRDefault="00E732EF" w:rsidP="00E732EF">
            <w:pPr>
              <w:spacing w:after="0" w:line="240" w:lineRule="auto"/>
              <w:rPr>
                <w:rFonts w:ascii="Times New Roman" w:eastAsia="Calibri" w:hAnsi="Times New Roman" w:cs="Arial"/>
                <w:noProof/>
                <w:sz w:val="20"/>
                <w:szCs w:val="20"/>
              </w:rPr>
            </w:pPr>
            <w:r w:rsidRPr="00E732EF">
              <w:rPr>
                <w:rFonts w:ascii="Times New Roman" w:eastAsia="Calibri" w:hAnsi="Times New Roman" w:cs="Arial"/>
                <w:noProof/>
                <w:sz w:val="20"/>
                <w:szCs w:val="20"/>
              </w:rPr>
              <w:t>vrlo jak vjetar</w:t>
            </w:r>
          </w:p>
        </w:tc>
        <w:tc>
          <w:tcPr>
            <w:tcW w:w="1687" w:type="dxa"/>
            <w:tcBorders>
              <w:top w:val="single" w:sz="6" w:space="0" w:color="auto"/>
              <w:left w:val="double" w:sz="2" w:space="0" w:color="auto"/>
              <w:bottom w:val="single" w:sz="6" w:space="0" w:color="auto"/>
              <w:right w:val="double" w:sz="2" w:space="0" w:color="auto"/>
            </w:tcBorders>
            <w:vAlign w:val="center"/>
          </w:tcPr>
          <w:p w14:paraId="67E8D2AF"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13.9-17.1</w:t>
            </w:r>
          </w:p>
        </w:tc>
      </w:tr>
      <w:tr w:rsidR="00E732EF" w:rsidRPr="00E732EF" w14:paraId="68CDD7C2" w14:textId="77777777" w:rsidTr="00E732EF">
        <w:trPr>
          <w:jc w:val="center"/>
        </w:trPr>
        <w:tc>
          <w:tcPr>
            <w:tcW w:w="1359" w:type="dxa"/>
            <w:tcBorders>
              <w:top w:val="single" w:sz="6" w:space="0" w:color="auto"/>
              <w:left w:val="double" w:sz="2" w:space="0" w:color="auto"/>
              <w:bottom w:val="single" w:sz="6" w:space="0" w:color="auto"/>
              <w:right w:val="double" w:sz="2" w:space="0" w:color="auto"/>
            </w:tcBorders>
            <w:shd w:val="clear" w:color="auto" w:fill="B8CCE4"/>
            <w:vAlign w:val="center"/>
          </w:tcPr>
          <w:p w14:paraId="6EF6FAA6"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8</w:t>
            </w:r>
          </w:p>
        </w:tc>
        <w:tc>
          <w:tcPr>
            <w:tcW w:w="2214" w:type="dxa"/>
            <w:tcBorders>
              <w:top w:val="single" w:sz="6" w:space="0" w:color="auto"/>
              <w:left w:val="double" w:sz="2" w:space="0" w:color="auto"/>
              <w:bottom w:val="single" w:sz="6" w:space="0" w:color="auto"/>
              <w:right w:val="double" w:sz="2" w:space="0" w:color="auto"/>
            </w:tcBorders>
            <w:vAlign w:val="center"/>
          </w:tcPr>
          <w:p w14:paraId="13FA97E9" w14:textId="77777777" w:rsidR="00E732EF" w:rsidRPr="00E732EF" w:rsidRDefault="00E732EF" w:rsidP="00E732EF">
            <w:pPr>
              <w:spacing w:after="0" w:line="240" w:lineRule="auto"/>
              <w:rPr>
                <w:rFonts w:ascii="Times New Roman" w:eastAsia="Calibri" w:hAnsi="Times New Roman" w:cs="Arial"/>
                <w:noProof/>
                <w:sz w:val="20"/>
                <w:szCs w:val="20"/>
              </w:rPr>
            </w:pPr>
            <w:r w:rsidRPr="00E732EF">
              <w:rPr>
                <w:rFonts w:ascii="Times New Roman" w:eastAsia="Calibri" w:hAnsi="Times New Roman" w:cs="Arial"/>
                <w:noProof/>
                <w:sz w:val="20"/>
                <w:szCs w:val="20"/>
              </w:rPr>
              <w:t>olujan vjetar</w:t>
            </w:r>
          </w:p>
        </w:tc>
        <w:tc>
          <w:tcPr>
            <w:tcW w:w="1687" w:type="dxa"/>
            <w:tcBorders>
              <w:top w:val="single" w:sz="6" w:space="0" w:color="auto"/>
              <w:left w:val="double" w:sz="2" w:space="0" w:color="auto"/>
              <w:bottom w:val="single" w:sz="6" w:space="0" w:color="auto"/>
              <w:right w:val="double" w:sz="2" w:space="0" w:color="auto"/>
            </w:tcBorders>
            <w:vAlign w:val="center"/>
          </w:tcPr>
          <w:p w14:paraId="0FA284D0"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17.2-20.7</w:t>
            </w:r>
          </w:p>
        </w:tc>
      </w:tr>
      <w:tr w:rsidR="00E732EF" w:rsidRPr="00E732EF" w14:paraId="781BA01B" w14:textId="77777777" w:rsidTr="00E732EF">
        <w:trPr>
          <w:jc w:val="center"/>
        </w:trPr>
        <w:tc>
          <w:tcPr>
            <w:tcW w:w="1359" w:type="dxa"/>
            <w:tcBorders>
              <w:top w:val="single" w:sz="6" w:space="0" w:color="auto"/>
              <w:left w:val="double" w:sz="2" w:space="0" w:color="auto"/>
              <w:bottom w:val="single" w:sz="6" w:space="0" w:color="auto"/>
              <w:right w:val="double" w:sz="2" w:space="0" w:color="auto"/>
            </w:tcBorders>
            <w:shd w:val="clear" w:color="auto" w:fill="B8CCE4"/>
            <w:vAlign w:val="center"/>
          </w:tcPr>
          <w:p w14:paraId="3BDB1028"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9</w:t>
            </w:r>
          </w:p>
        </w:tc>
        <w:tc>
          <w:tcPr>
            <w:tcW w:w="2214" w:type="dxa"/>
            <w:tcBorders>
              <w:top w:val="single" w:sz="6" w:space="0" w:color="auto"/>
              <w:left w:val="double" w:sz="2" w:space="0" w:color="auto"/>
              <w:bottom w:val="single" w:sz="6" w:space="0" w:color="auto"/>
              <w:right w:val="double" w:sz="2" w:space="0" w:color="auto"/>
            </w:tcBorders>
            <w:vAlign w:val="center"/>
          </w:tcPr>
          <w:p w14:paraId="5E07B0D6" w14:textId="77777777" w:rsidR="00E732EF" w:rsidRPr="00E732EF" w:rsidRDefault="00E732EF" w:rsidP="00E732EF">
            <w:pPr>
              <w:spacing w:after="0" w:line="240" w:lineRule="auto"/>
              <w:rPr>
                <w:rFonts w:ascii="Times New Roman" w:eastAsia="Calibri" w:hAnsi="Times New Roman" w:cs="Arial"/>
                <w:noProof/>
                <w:sz w:val="20"/>
                <w:szCs w:val="20"/>
              </w:rPr>
            </w:pPr>
            <w:r w:rsidRPr="00E732EF">
              <w:rPr>
                <w:rFonts w:ascii="Times New Roman" w:eastAsia="Calibri" w:hAnsi="Times New Roman" w:cs="Arial"/>
                <w:noProof/>
                <w:sz w:val="20"/>
                <w:szCs w:val="20"/>
              </w:rPr>
              <w:t>oluja</w:t>
            </w:r>
          </w:p>
        </w:tc>
        <w:tc>
          <w:tcPr>
            <w:tcW w:w="1687" w:type="dxa"/>
            <w:tcBorders>
              <w:top w:val="single" w:sz="6" w:space="0" w:color="auto"/>
              <w:left w:val="double" w:sz="2" w:space="0" w:color="auto"/>
              <w:bottom w:val="single" w:sz="6" w:space="0" w:color="auto"/>
              <w:right w:val="double" w:sz="2" w:space="0" w:color="auto"/>
            </w:tcBorders>
            <w:vAlign w:val="center"/>
          </w:tcPr>
          <w:p w14:paraId="6817E791"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20.8-24.4</w:t>
            </w:r>
          </w:p>
        </w:tc>
      </w:tr>
      <w:tr w:rsidR="00E732EF" w:rsidRPr="00E732EF" w14:paraId="0329E4DF" w14:textId="77777777" w:rsidTr="00E732EF">
        <w:trPr>
          <w:jc w:val="center"/>
        </w:trPr>
        <w:tc>
          <w:tcPr>
            <w:tcW w:w="1359" w:type="dxa"/>
            <w:tcBorders>
              <w:top w:val="single" w:sz="6" w:space="0" w:color="auto"/>
              <w:left w:val="double" w:sz="2" w:space="0" w:color="auto"/>
              <w:bottom w:val="single" w:sz="6" w:space="0" w:color="auto"/>
              <w:right w:val="double" w:sz="2" w:space="0" w:color="auto"/>
            </w:tcBorders>
            <w:shd w:val="clear" w:color="auto" w:fill="B8CCE4"/>
            <w:vAlign w:val="center"/>
          </w:tcPr>
          <w:p w14:paraId="56DA245E"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10</w:t>
            </w:r>
          </w:p>
        </w:tc>
        <w:tc>
          <w:tcPr>
            <w:tcW w:w="2214" w:type="dxa"/>
            <w:tcBorders>
              <w:top w:val="single" w:sz="6" w:space="0" w:color="auto"/>
              <w:left w:val="double" w:sz="2" w:space="0" w:color="auto"/>
              <w:bottom w:val="single" w:sz="6" w:space="0" w:color="auto"/>
              <w:right w:val="double" w:sz="2" w:space="0" w:color="auto"/>
            </w:tcBorders>
            <w:vAlign w:val="center"/>
          </w:tcPr>
          <w:p w14:paraId="09B20E08" w14:textId="77777777" w:rsidR="00E732EF" w:rsidRPr="00E732EF" w:rsidRDefault="00E732EF" w:rsidP="00E732EF">
            <w:pPr>
              <w:spacing w:after="0" w:line="240" w:lineRule="auto"/>
              <w:rPr>
                <w:rFonts w:ascii="Times New Roman" w:eastAsia="Calibri" w:hAnsi="Times New Roman" w:cs="Arial"/>
                <w:noProof/>
                <w:sz w:val="20"/>
                <w:szCs w:val="20"/>
              </w:rPr>
            </w:pPr>
            <w:r w:rsidRPr="00E732EF">
              <w:rPr>
                <w:rFonts w:ascii="Times New Roman" w:eastAsia="Calibri" w:hAnsi="Times New Roman" w:cs="Arial"/>
                <w:noProof/>
                <w:sz w:val="20"/>
                <w:szCs w:val="20"/>
              </w:rPr>
              <w:t>jaka oluja</w:t>
            </w:r>
          </w:p>
        </w:tc>
        <w:tc>
          <w:tcPr>
            <w:tcW w:w="1687" w:type="dxa"/>
            <w:tcBorders>
              <w:top w:val="single" w:sz="6" w:space="0" w:color="auto"/>
              <w:left w:val="double" w:sz="2" w:space="0" w:color="auto"/>
              <w:bottom w:val="single" w:sz="6" w:space="0" w:color="auto"/>
              <w:right w:val="double" w:sz="2" w:space="0" w:color="auto"/>
            </w:tcBorders>
            <w:vAlign w:val="center"/>
          </w:tcPr>
          <w:p w14:paraId="0ED10141"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24.5-28.4</w:t>
            </w:r>
          </w:p>
        </w:tc>
      </w:tr>
      <w:tr w:rsidR="00E732EF" w:rsidRPr="00E732EF" w14:paraId="603308F2" w14:textId="77777777" w:rsidTr="00E732EF">
        <w:trPr>
          <w:jc w:val="center"/>
        </w:trPr>
        <w:tc>
          <w:tcPr>
            <w:tcW w:w="1359" w:type="dxa"/>
            <w:tcBorders>
              <w:top w:val="single" w:sz="6" w:space="0" w:color="auto"/>
              <w:left w:val="double" w:sz="2" w:space="0" w:color="auto"/>
              <w:bottom w:val="single" w:sz="6" w:space="0" w:color="auto"/>
              <w:right w:val="double" w:sz="2" w:space="0" w:color="auto"/>
            </w:tcBorders>
            <w:shd w:val="clear" w:color="auto" w:fill="B8CCE4"/>
            <w:vAlign w:val="center"/>
          </w:tcPr>
          <w:p w14:paraId="793DF2B6"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11</w:t>
            </w:r>
          </w:p>
        </w:tc>
        <w:tc>
          <w:tcPr>
            <w:tcW w:w="2214" w:type="dxa"/>
            <w:tcBorders>
              <w:top w:val="single" w:sz="6" w:space="0" w:color="auto"/>
              <w:left w:val="double" w:sz="2" w:space="0" w:color="auto"/>
              <w:bottom w:val="single" w:sz="6" w:space="0" w:color="auto"/>
              <w:right w:val="double" w:sz="2" w:space="0" w:color="auto"/>
            </w:tcBorders>
            <w:vAlign w:val="center"/>
          </w:tcPr>
          <w:p w14:paraId="589516B2" w14:textId="77777777" w:rsidR="00E732EF" w:rsidRPr="00E732EF" w:rsidRDefault="00E732EF" w:rsidP="00E732EF">
            <w:pPr>
              <w:spacing w:after="0" w:line="240" w:lineRule="auto"/>
              <w:rPr>
                <w:rFonts w:ascii="Times New Roman" w:eastAsia="Calibri" w:hAnsi="Times New Roman" w:cs="Arial"/>
                <w:noProof/>
                <w:sz w:val="20"/>
                <w:szCs w:val="20"/>
              </w:rPr>
            </w:pPr>
            <w:r w:rsidRPr="00E732EF">
              <w:rPr>
                <w:rFonts w:ascii="Times New Roman" w:eastAsia="Calibri" w:hAnsi="Times New Roman" w:cs="Arial"/>
                <w:noProof/>
                <w:sz w:val="20"/>
                <w:szCs w:val="20"/>
              </w:rPr>
              <w:t>orkanski vjetar</w:t>
            </w:r>
          </w:p>
        </w:tc>
        <w:tc>
          <w:tcPr>
            <w:tcW w:w="1687" w:type="dxa"/>
            <w:tcBorders>
              <w:top w:val="single" w:sz="6" w:space="0" w:color="auto"/>
              <w:left w:val="double" w:sz="2" w:space="0" w:color="auto"/>
              <w:bottom w:val="single" w:sz="6" w:space="0" w:color="auto"/>
              <w:right w:val="double" w:sz="2" w:space="0" w:color="auto"/>
            </w:tcBorders>
            <w:vAlign w:val="center"/>
          </w:tcPr>
          <w:p w14:paraId="6A948EB1"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28.5-32.6</w:t>
            </w:r>
          </w:p>
        </w:tc>
      </w:tr>
      <w:tr w:rsidR="00E732EF" w:rsidRPr="00E732EF" w14:paraId="612AE7C8" w14:textId="77777777" w:rsidTr="00E732EF">
        <w:trPr>
          <w:jc w:val="center"/>
        </w:trPr>
        <w:tc>
          <w:tcPr>
            <w:tcW w:w="1359" w:type="dxa"/>
            <w:tcBorders>
              <w:top w:val="single" w:sz="6" w:space="0" w:color="auto"/>
              <w:left w:val="double" w:sz="2" w:space="0" w:color="auto"/>
              <w:bottom w:val="double" w:sz="2" w:space="0" w:color="auto"/>
              <w:right w:val="double" w:sz="2" w:space="0" w:color="auto"/>
            </w:tcBorders>
            <w:shd w:val="clear" w:color="auto" w:fill="B8CCE4"/>
            <w:vAlign w:val="center"/>
          </w:tcPr>
          <w:p w14:paraId="20EB144B"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12</w:t>
            </w:r>
          </w:p>
        </w:tc>
        <w:tc>
          <w:tcPr>
            <w:tcW w:w="2214" w:type="dxa"/>
            <w:tcBorders>
              <w:top w:val="single" w:sz="6" w:space="0" w:color="auto"/>
              <w:left w:val="double" w:sz="2" w:space="0" w:color="auto"/>
              <w:bottom w:val="double" w:sz="2" w:space="0" w:color="auto"/>
              <w:right w:val="double" w:sz="2" w:space="0" w:color="auto"/>
            </w:tcBorders>
            <w:vAlign w:val="center"/>
          </w:tcPr>
          <w:p w14:paraId="757635B1" w14:textId="77777777" w:rsidR="00E732EF" w:rsidRPr="00E732EF" w:rsidRDefault="00E732EF" w:rsidP="00E732EF">
            <w:pPr>
              <w:spacing w:after="0" w:line="240" w:lineRule="auto"/>
              <w:rPr>
                <w:rFonts w:ascii="Times New Roman" w:eastAsia="Calibri" w:hAnsi="Times New Roman" w:cs="Arial"/>
                <w:noProof/>
                <w:sz w:val="20"/>
                <w:szCs w:val="20"/>
              </w:rPr>
            </w:pPr>
            <w:r w:rsidRPr="00E732EF">
              <w:rPr>
                <w:rFonts w:ascii="Times New Roman" w:eastAsia="Calibri" w:hAnsi="Times New Roman" w:cs="Arial"/>
                <w:noProof/>
                <w:sz w:val="20"/>
                <w:szCs w:val="20"/>
              </w:rPr>
              <w:t>orkan</w:t>
            </w:r>
          </w:p>
        </w:tc>
        <w:tc>
          <w:tcPr>
            <w:tcW w:w="1687" w:type="dxa"/>
            <w:tcBorders>
              <w:top w:val="single" w:sz="6" w:space="0" w:color="auto"/>
              <w:left w:val="double" w:sz="2" w:space="0" w:color="auto"/>
              <w:bottom w:val="double" w:sz="2" w:space="0" w:color="auto"/>
              <w:right w:val="double" w:sz="2" w:space="0" w:color="auto"/>
            </w:tcBorders>
            <w:vAlign w:val="center"/>
          </w:tcPr>
          <w:p w14:paraId="52F6CD32" w14:textId="77777777" w:rsidR="00E732EF" w:rsidRPr="00E732EF" w:rsidRDefault="00E732EF" w:rsidP="00E732EF">
            <w:pPr>
              <w:spacing w:after="0" w:line="240" w:lineRule="auto"/>
              <w:jc w:val="center"/>
              <w:rPr>
                <w:rFonts w:ascii="Times New Roman" w:eastAsia="Calibri" w:hAnsi="Times New Roman" w:cs="Arial"/>
                <w:noProof/>
                <w:sz w:val="20"/>
                <w:szCs w:val="20"/>
              </w:rPr>
            </w:pPr>
            <w:r w:rsidRPr="00E732EF">
              <w:rPr>
                <w:rFonts w:ascii="Times New Roman" w:eastAsia="Calibri" w:hAnsi="Times New Roman" w:cs="Arial"/>
                <w:noProof/>
                <w:sz w:val="20"/>
                <w:szCs w:val="20"/>
              </w:rPr>
              <w:t>32.7-36.9</w:t>
            </w:r>
          </w:p>
        </w:tc>
      </w:tr>
    </w:tbl>
    <w:p w14:paraId="460ABDB8"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Da bi se brzina vjetra iz m/s pretvorila u km/h potrebno je vrijednosti brzine pomnožiti s 3.6.</w:t>
      </w:r>
    </w:p>
    <w:p w14:paraId="251D226C" w14:textId="77777777" w:rsidR="00E732EF" w:rsidRPr="00E732EF" w:rsidRDefault="00E732EF" w:rsidP="00E732EF">
      <w:pPr>
        <w:spacing w:after="0" w:line="240" w:lineRule="auto"/>
        <w:jc w:val="both"/>
        <w:rPr>
          <w:rFonts w:ascii="Times New Roman" w:eastAsia="Calibri" w:hAnsi="Times New Roman" w:cs="Times New Roman"/>
          <w:i/>
          <w:iCs/>
          <w:noProof/>
          <w:u w:val="single"/>
        </w:rPr>
      </w:pPr>
      <w:bookmarkStart w:id="0" w:name="_Toc146683940"/>
    </w:p>
    <w:p w14:paraId="69BE5642" w14:textId="77777777" w:rsidR="00E732EF" w:rsidRPr="00E732EF" w:rsidRDefault="00E732EF" w:rsidP="00E732EF">
      <w:pPr>
        <w:spacing w:after="0" w:line="240" w:lineRule="auto"/>
        <w:jc w:val="both"/>
        <w:rPr>
          <w:rFonts w:ascii="Times New Roman" w:eastAsia="Calibri" w:hAnsi="Times New Roman" w:cs="Times New Roman"/>
          <w:i/>
          <w:iCs/>
          <w:noProof/>
          <w:u w:val="single"/>
        </w:rPr>
      </w:pPr>
      <w:r w:rsidRPr="00E732EF">
        <w:rPr>
          <w:rFonts w:ascii="Times New Roman" w:eastAsia="Calibri" w:hAnsi="Times New Roman" w:cs="Times New Roman"/>
          <w:i/>
          <w:iCs/>
          <w:noProof/>
          <w:u w:val="single"/>
        </w:rPr>
        <w:t>Razdioba smjera i jačine vjetra</w:t>
      </w:r>
    </w:p>
    <w:bookmarkEnd w:id="0"/>
    <w:p w14:paraId="460017B0" w14:textId="77777777" w:rsidR="00E732EF" w:rsidRPr="00E732EF" w:rsidRDefault="00E732EF" w:rsidP="00E732EF">
      <w:pPr>
        <w:spacing w:after="0" w:line="240" w:lineRule="auto"/>
        <w:jc w:val="both"/>
        <w:rPr>
          <w:rFonts w:ascii="Times New Roman" w:eastAsia="Calibri" w:hAnsi="Times New Roman" w:cs="Times New Roman"/>
          <w:noProof/>
        </w:rPr>
      </w:pPr>
    </w:p>
    <w:p w14:paraId="0C99A27E"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 xml:space="preserve">Poznato je da je u umjerenim geografskim širina stanje atmosfere vrlo promjenljivo. U skladu s tim područje Hrvatske obilježeno je raznolikošću vremenskih situacija uz česte i intenzivne promjene iz dana u dan i tijekom godine. Prema općoj cirkulaciji atmosfere u kontinentalnu Hrvatsku prodire hladan zrak maritimnog podrijetla iz sjeverozapadnog kvadranta i kontinentalnog podrijetla iz sjeveroistočnog kvadranta. Strujanje toplog zraka, koji može putem preko Sredozemlja poprimiti maritimne karakteristike, je najčešće iz južnog kvadranta. Međutim, primarni strujni režim modificira se na pojedinim lokacijama ovisno o reljefu tla kao što su izloženost terena, konkavnost i konveksnost reljefa, nadmorska visina i sl. </w:t>
      </w:r>
    </w:p>
    <w:p w14:paraId="7CFB704B"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Za prikaz strujnog režima na području Općine Sveti Juraj na Bregu  i Međimurske županije analizirane su godišnje i sezonske vjerojatnosti istovremenog pojavljivanja pojedinih jačina i smjera vjetra za period (1981–2000). Rezultati analize prikazani su grafički na ružama vjetra (slike).</w:t>
      </w:r>
    </w:p>
    <w:p w14:paraId="550FFA1C"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Na godišnjoj ruži vjetra uočava se najveća učestalost  SW vjetra (11.0%). Relativna čestina tišina iznosi 5.2%. Ostali smjerovi su gotovo podjednako zastupljeni od 3.5% do 7% osim iz ESE smjera čija je učestalost oko 2.5%.</w:t>
      </w:r>
    </w:p>
    <w:p w14:paraId="60FAF097"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 xml:space="preserve">Sličan oblik, kao i godišnja ruža vjetra, zadržavaju ruže vjetra i po sezonama. U jesen  pojavljuje se veća učestalost tišina (6.7%) što je povezano i s stacionarnim anticiklonalnim tipom vremena. Prevladava maglovito vrijeme ili niska naoblaka što ukazuje na malu turbulentnu razmjenu zraka i stabilnu stratifikaciju atmosfere. S druge strane, u hladnom dijelu godine javljaju se i prodori hladnog zraka sa sjevera i sjeveroistoka. U takvim vremenskim situacijama moguć je jak pa čak i olujan N–NE vjetar. </w:t>
      </w:r>
    </w:p>
    <w:p w14:paraId="15ECCAB1"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 xml:space="preserve">Za proljeće su karakteristični brže pokretni ciklonalni tipovi vremena (ciklone i doline sa sjeverozapada ili jugozapada) što dovodi do čestih i naglih promjena vremena, izmjenjuju se kišna s bezoborinskim razdobljima. Ljeti pak dominiraju barička polja s malim gradijentom tlaka u kojima također prevladava slab vjetar, ali s labilnom stratifikacijom atmosfere. U slučaju da je turbulentno miješanje zraka jako, razvijaju se grmljavinski oblaci Cumulonimbusi (oblaci vertikalnog razvoja s jakim uzlaznim strujama) i u popodnevnim i večernjim satima moguće je nevrijeme. U takvim ljetnim olujama javlja se jak odnosno olujan vjetar praćen pljuskom kiše i grmljavinom, a ponekad i tučom. </w:t>
      </w:r>
    </w:p>
    <w:p w14:paraId="3828A91D"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Od ukupnog broja podataka u Svetom Jurju na Bregu 1.2 % podatka otpada na jak vjetar (</w:t>
      </w:r>
      <w:r w:rsidRPr="00E732EF">
        <w:rPr>
          <w:rFonts w:ascii="Times New Roman" w:eastAsia="Calibri" w:hAnsi="Times New Roman" w:cs="Times New Roman"/>
          <w:noProof/>
        </w:rPr>
        <w:sym w:font="Symbol" w:char="F0B3"/>
      </w:r>
      <w:r w:rsidRPr="00E732EF">
        <w:rPr>
          <w:rFonts w:ascii="Times New Roman" w:eastAsia="Calibri" w:hAnsi="Times New Roman" w:cs="Times New Roman"/>
          <w:noProof/>
        </w:rPr>
        <w:t xml:space="preserve"> 6 Bf). Promatra li se jačina vjetra neovisno o smjeru i dobu godine, na meteorološkoj postaji uočava se prevladavanje slabog  vjetra jačine 1–3 Bf  u 84.9%. Umjeren i umjereno jak vjetar (4–5 Bf) javlja se rijetko (8.6%). Najjači opaženi vjetar iznosio je 8 Bf i to iz N, NNE i NNW smjerova. Jak vjetar nikada se nije pojavio iz smjerova ENE–ESE i SSE. </w:t>
      </w:r>
    </w:p>
    <w:p w14:paraId="0AEC9BF3" w14:textId="77777777" w:rsidR="00E732EF" w:rsidRPr="00E732EF" w:rsidRDefault="00E732EF" w:rsidP="00E732EF">
      <w:pPr>
        <w:spacing w:after="0" w:line="240" w:lineRule="auto"/>
        <w:jc w:val="both"/>
        <w:rPr>
          <w:rFonts w:ascii="Times New Roman" w:eastAsia="Calibri" w:hAnsi="Times New Roman" w:cs="Times New Roman"/>
          <w:b/>
          <w:noProof/>
        </w:rPr>
      </w:pPr>
      <w:r w:rsidRPr="00E732EF">
        <w:rPr>
          <w:rFonts w:ascii="Times New Roman" w:eastAsia="Calibri" w:hAnsi="Times New Roman" w:cs="Times New Roman"/>
          <w:noProof/>
        </w:rPr>
        <w:t xml:space="preserve">Prema tome, u najvećem broju slučajeva na području prevladava slab vjetar. U određenim vremenskim situacijama može se pojaviti jak ili olujan vjetar </w:t>
      </w:r>
      <w:r w:rsidRPr="00E732EF">
        <w:rPr>
          <w:rFonts w:ascii="Times New Roman" w:eastAsia="Calibri" w:hAnsi="Times New Roman" w:cs="Times New Roman"/>
          <w:noProof/>
        </w:rPr>
        <w:sym w:font="Symbol" w:char="F02D"/>
      </w:r>
      <w:r w:rsidRPr="00E732EF">
        <w:rPr>
          <w:rFonts w:ascii="Times New Roman" w:eastAsia="Calibri" w:hAnsi="Times New Roman" w:cs="Times New Roman"/>
          <w:noProof/>
        </w:rPr>
        <w:t xml:space="preserve"> u hladnom dijelu povezan je s prodorima hladnog zraka sa sjevera ili sjeveroistoka, a ljeti s olujnim nevremenima</w:t>
      </w:r>
    </w:p>
    <w:p w14:paraId="322767A9" w14:textId="77777777" w:rsidR="00E732EF" w:rsidRPr="00E732EF" w:rsidRDefault="00E732EF" w:rsidP="00E732EF">
      <w:pPr>
        <w:spacing w:after="0" w:line="240" w:lineRule="auto"/>
        <w:jc w:val="both"/>
        <w:rPr>
          <w:rFonts w:ascii="Times New Roman" w:eastAsia="Calibri" w:hAnsi="Times New Roman" w:cs="Times New Roman"/>
          <w:i/>
          <w:iCs/>
          <w:noProof/>
          <w:u w:val="single"/>
        </w:rPr>
      </w:pPr>
      <w:r w:rsidRPr="00E732EF">
        <w:rPr>
          <w:rFonts w:ascii="Times New Roman" w:eastAsia="Calibri" w:hAnsi="Times New Roman" w:cs="Times New Roman"/>
          <w:i/>
          <w:iCs/>
          <w:noProof/>
          <w:u w:val="single"/>
        </w:rPr>
        <w:lastRenderedPageBreak/>
        <w:t>Dani s jakim i olujnim vjetrom</w:t>
      </w:r>
    </w:p>
    <w:p w14:paraId="2CC08295"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 xml:space="preserve">Dosadašnja analiza strujanja za Općinu Sveti Juraj na Bregu i Međimursku županiju izrađena je prema vrijednostima jačine i smjera vjetra u tri termina dnevno. Međutim, vjetar nije diskretna nego kontinuirana veličina, te se može pojaviti jak ili olujan vjetra izvan termina motrenja. Upravo zbog toga motritelji bilježe vrijeme nastupa i prestanka vjetra jačeg od 6 Bf i 8 Bf tijekom dana. Dan s jakim/olujnim vjetrom je onaj dan u kojem je barem jednom zabilježen vjetra jačine </w:t>
      </w:r>
      <w:r w:rsidRPr="00E732EF">
        <w:rPr>
          <w:rFonts w:ascii="Times New Roman" w:eastAsia="Calibri" w:hAnsi="Times New Roman" w:cs="Times New Roman"/>
          <w:noProof/>
        </w:rPr>
        <w:sym w:font="Symbol" w:char="F0B3"/>
      </w:r>
      <w:r w:rsidRPr="00E732EF">
        <w:rPr>
          <w:rFonts w:ascii="Times New Roman" w:eastAsia="Calibri" w:hAnsi="Times New Roman" w:cs="Times New Roman"/>
          <w:noProof/>
        </w:rPr>
        <w:t xml:space="preserve"> 6 Bf odnosno </w:t>
      </w:r>
      <w:r w:rsidRPr="00E732EF">
        <w:rPr>
          <w:rFonts w:ascii="Times New Roman" w:eastAsia="Calibri" w:hAnsi="Times New Roman" w:cs="Times New Roman"/>
          <w:noProof/>
        </w:rPr>
        <w:sym w:font="Symbol" w:char="F0B3"/>
      </w:r>
      <w:r w:rsidRPr="00E732EF">
        <w:rPr>
          <w:rFonts w:ascii="Times New Roman" w:eastAsia="Calibri" w:hAnsi="Times New Roman" w:cs="Times New Roman"/>
          <w:noProof/>
        </w:rPr>
        <w:t xml:space="preserve"> 8 Bf. Za cjelovitu sliku vjetrovnog režima promatranog područja izrađena je i analiza srednjeg mjesečnog i godišnjeg broja dana s jakim i olujnim vjetrom za Sveti Juraj na Bregu u razdoblju 1981–2000.  </w:t>
      </w:r>
    </w:p>
    <w:p w14:paraId="705E4CD7"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 xml:space="preserve">Prema 20-godišnjem razdoblju u Općini Sveti Juraj na Bregu (i Županiji) se jak vjetar prosječno javlja 13 dana u godini, a olujni vjetar 0.3 dana. Najveći broj dana s jakim vjetrom iznosio je 24 dana zabilježeno 1994. od čega je 2 dana bilo s olujnim vjetrom. Međutim, taj broj dana jako varira od godine do godine što pokazuju velike vrijednosti standardne devijacije. </w:t>
      </w:r>
    </w:p>
    <w:p w14:paraId="6CB6D594"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 xml:space="preserve">Godišnji hod dana s jakim vjetrom pokazuje tu pojavu tijekom cijele godine, a olujni vjetar je bio opažen od veljače do travnja i u kolovozu u promatranom 20-godišnjem razdoblju. Najveći broj takvih dana javlja se u hladnom dijelu godine. U ožujku 1980 i veljači 1990. opažen je maksimalan broj dana s jakim vjetrom (po 6 dana), a olujni vjetar je vrlo rijedak i ako se pojavi to je onda samo jednom u mjesecu. </w:t>
      </w:r>
    </w:p>
    <w:p w14:paraId="3D2C8A2C"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Slike 5  Sezonske i Godišnja ruža vjetra, 1981.-2000.godine, meteorološka postaja Čakovec</w:t>
      </w:r>
    </w:p>
    <w:p w14:paraId="70BD9A1D" w14:textId="77777777" w:rsidR="00E732EF" w:rsidRPr="00E732EF" w:rsidRDefault="00E732EF" w:rsidP="00E732EF">
      <w:pPr>
        <w:spacing w:after="0" w:line="240" w:lineRule="auto"/>
        <w:jc w:val="both"/>
        <w:rPr>
          <w:rFonts w:ascii="Calibri" w:eastAsia="Calibri" w:hAnsi="Calibri" w:cs="Times New Roman"/>
          <w:noProof/>
        </w:rPr>
      </w:pPr>
      <w:r>
        <w:rPr>
          <w:rFonts w:ascii="Calibri" w:eastAsia="Calibri" w:hAnsi="Calibri" w:cs="Times New Roman"/>
          <w:noProof/>
          <w:lang w:eastAsia="hr-HR"/>
        </w:rPr>
        <w:drawing>
          <wp:inline distT="0" distB="0" distL="0" distR="0" wp14:anchorId="62AD4330" wp14:editId="2BF77250">
            <wp:extent cx="1569720" cy="1509395"/>
            <wp:effectExtent l="0" t="0" r="0" b="0"/>
            <wp:docPr id="17" name="Slika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0">
                      <a:extLst>
                        <a:ext uri="{28A0092B-C50C-407E-A947-70E740481C1C}">
                          <a14:useLocalDpi xmlns:a14="http://schemas.microsoft.com/office/drawing/2010/main" val="0"/>
                        </a:ext>
                      </a:extLst>
                    </a:blip>
                    <a:srcRect l="8998" r="17995"/>
                    <a:stretch>
                      <a:fillRect/>
                    </a:stretch>
                  </pic:blipFill>
                  <pic:spPr bwMode="auto">
                    <a:xfrm>
                      <a:off x="0" y="0"/>
                      <a:ext cx="1569720" cy="1509395"/>
                    </a:xfrm>
                    <a:prstGeom prst="rect">
                      <a:avLst/>
                    </a:prstGeom>
                    <a:noFill/>
                    <a:ln>
                      <a:noFill/>
                    </a:ln>
                  </pic:spPr>
                </pic:pic>
              </a:graphicData>
            </a:graphic>
          </wp:inline>
        </w:drawing>
      </w:r>
      <w:r>
        <w:rPr>
          <w:rFonts w:ascii="Calibri" w:eastAsia="Calibri" w:hAnsi="Calibri" w:cs="Times New Roman"/>
          <w:noProof/>
          <w:lang w:eastAsia="hr-HR"/>
        </w:rPr>
        <w:drawing>
          <wp:inline distT="0" distB="0" distL="0" distR="0" wp14:anchorId="4EE933CA" wp14:editId="6374A638">
            <wp:extent cx="1552575" cy="1492250"/>
            <wp:effectExtent l="0" t="0" r="9525" b="0"/>
            <wp:docPr id="16" name="Slika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1">
                      <a:extLst>
                        <a:ext uri="{28A0092B-C50C-407E-A947-70E740481C1C}">
                          <a14:useLocalDpi xmlns:a14="http://schemas.microsoft.com/office/drawing/2010/main" val="0"/>
                        </a:ext>
                      </a:extLst>
                    </a:blip>
                    <a:srcRect l="9064" r="18126"/>
                    <a:stretch>
                      <a:fillRect/>
                    </a:stretch>
                  </pic:blipFill>
                  <pic:spPr bwMode="auto">
                    <a:xfrm>
                      <a:off x="0" y="0"/>
                      <a:ext cx="1552575" cy="1492250"/>
                    </a:xfrm>
                    <a:prstGeom prst="rect">
                      <a:avLst/>
                    </a:prstGeom>
                    <a:noFill/>
                    <a:ln>
                      <a:noFill/>
                    </a:ln>
                  </pic:spPr>
                </pic:pic>
              </a:graphicData>
            </a:graphic>
          </wp:inline>
        </w:drawing>
      </w:r>
      <w:r>
        <w:rPr>
          <w:rFonts w:ascii="Calibri" w:eastAsia="Calibri" w:hAnsi="Calibri" w:cs="Times New Roman"/>
          <w:noProof/>
          <w:lang w:eastAsia="hr-HR"/>
        </w:rPr>
        <w:drawing>
          <wp:inline distT="0" distB="0" distL="0" distR="0" wp14:anchorId="0D19AA62" wp14:editId="2CAA24A1">
            <wp:extent cx="1552575" cy="1483995"/>
            <wp:effectExtent l="0" t="0" r="9525" b="1905"/>
            <wp:docPr id="15" name="Slika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2">
                      <a:extLst>
                        <a:ext uri="{28A0092B-C50C-407E-A947-70E740481C1C}">
                          <a14:useLocalDpi xmlns:a14="http://schemas.microsoft.com/office/drawing/2010/main" val="0"/>
                        </a:ext>
                      </a:extLst>
                    </a:blip>
                    <a:srcRect l="9041" r="18082"/>
                    <a:stretch>
                      <a:fillRect/>
                    </a:stretch>
                  </pic:blipFill>
                  <pic:spPr bwMode="auto">
                    <a:xfrm>
                      <a:off x="0" y="0"/>
                      <a:ext cx="1552575" cy="1483995"/>
                    </a:xfrm>
                    <a:prstGeom prst="rect">
                      <a:avLst/>
                    </a:prstGeom>
                    <a:noFill/>
                    <a:ln>
                      <a:noFill/>
                    </a:ln>
                  </pic:spPr>
                </pic:pic>
              </a:graphicData>
            </a:graphic>
          </wp:inline>
        </w:drawing>
      </w:r>
    </w:p>
    <w:p w14:paraId="34CE4C76" w14:textId="77777777" w:rsidR="00E732EF" w:rsidRPr="00E732EF" w:rsidRDefault="00E732EF" w:rsidP="00E732EF">
      <w:pPr>
        <w:spacing w:after="0" w:line="240" w:lineRule="auto"/>
        <w:jc w:val="both"/>
        <w:rPr>
          <w:rFonts w:ascii="Calibri" w:eastAsia="Calibri" w:hAnsi="Calibri" w:cs="Times New Roman"/>
          <w:noProof/>
        </w:rPr>
      </w:pPr>
      <w:r>
        <w:rPr>
          <w:rFonts w:ascii="Calibri" w:eastAsia="Calibri" w:hAnsi="Calibri" w:cs="Times New Roman"/>
          <w:noProof/>
          <w:lang w:eastAsia="hr-HR"/>
        </w:rPr>
        <w:drawing>
          <wp:inline distT="0" distB="0" distL="0" distR="0" wp14:anchorId="164C02B7" wp14:editId="7D10F23B">
            <wp:extent cx="1569720" cy="1518285"/>
            <wp:effectExtent l="0" t="0" r="0" b="5715"/>
            <wp:docPr id="14" name="Slika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3">
                      <a:extLst>
                        <a:ext uri="{28A0092B-C50C-407E-A947-70E740481C1C}">
                          <a14:useLocalDpi xmlns:a14="http://schemas.microsoft.com/office/drawing/2010/main" val="0"/>
                        </a:ext>
                      </a:extLst>
                    </a:blip>
                    <a:srcRect l="9019" r="18039"/>
                    <a:stretch>
                      <a:fillRect/>
                    </a:stretch>
                  </pic:blipFill>
                  <pic:spPr bwMode="auto">
                    <a:xfrm>
                      <a:off x="0" y="0"/>
                      <a:ext cx="1569720" cy="1518285"/>
                    </a:xfrm>
                    <a:prstGeom prst="rect">
                      <a:avLst/>
                    </a:prstGeom>
                    <a:noFill/>
                    <a:ln>
                      <a:noFill/>
                    </a:ln>
                  </pic:spPr>
                </pic:pic>
              </a:graphicData>
            </a:graphic>
          </wp:inline>
        </w:drawing>
      </w:r>
      <w:r>
        <w:rPr>
          <w:rFonts w:ascii="Calibri" w:eastAsia="Calibri" w:hAnsi="Calibri" w:cs="Times New Roman"/>
          <w:noProof/>
          <w:lang w:eastAsia="hr-HR"/>
        </w:rPr>
        <w:drawing>
          <wp:inline distT="0" distB="0" distL="0" distR="0" wp14:anchorId="0E29B3C7" wp14:editId="70E293F6">
            <wp:extent cx="1475105" cy="1405890"/>
            <wp:effectExtent l="0" t="0" r="0" b="3810"/>
            <wp:docPr id="13" name="Slika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4">
                      <a:extLst>
                        <a:ext uri="{28A0092B-C50C-407E-A947-70E740481C1C}">
                          <a14:useLocalDpi xmlns:a14="http://schemas.microsoft.com/office/drawing/2010/main" val="0"/>
                        </a:ext>
                      </a:extLst>
                    </a:blip>
                    <a:srcRect l="9085" r="18169"/>
                    <a:stretch>
                      <a:fillRect/>
                    </a:stretch>
                  </pic:blipFill>
                  <pic:spPr bwMode="auto">
                    <a:xfrm>
                      <a:off x="0" y="0"/>
                      <a:ext cx="1475105" cy="1405890"/>
                    </a:xfrm>
                    <a:prstGeom prst="rect">
                      <a:avLst/>
                    </a:prstGeom>
                    <a:noFill/>
                    <a:ln>
                      <a:noFill/>
                    </a:ln>
                  </pic:spPr>
                </pic:pic>
              </a:graphicData>
            </a:graphic>
          </wp:inline>
        </w:drawing>
      </w:r>
      <w:r>
        <w:rPr>
          <w:rFonts w:ascii="Calibri" w:eastAsia="Calibri" w:hAnsi="Calibri" w:cs="Times New Roman"/>
          <w:noProof/>
          <w:sz w:val="20"/>
          <w:lang w:eastAsia="hr-HR"/>
        </w:rPr>
        <w:drawing>
          <wp:inline distT="0" distB="0" distL="0" distR="0" wp14:anchorId="3F5326D3" wp14:editId="74053A33">
            <wp:extent cx="1725295" cy="1026795"/>
            <wp:effectExtent l="0" t="0" r="8255" b="1905"/>
            <wp:docPr id="12" name="Slika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5">
                      <a:extLst>
                        <a:ext uri="{28A0092B-C50C-407E-A947-70E740481C1C}">
                          <a14:useLocalDpi xmlns:a14="http://schemas.microsoft.com/office/drawing/2010/main" val="0"/>
                        </a:ext>
                      </a:extLst>
                    </a:blip>
                    <a:srcRect r="7484" b="7602"/>
                    <a:stretch>
                      <a:fillRect/>
                    </a:stretch>
                  </pic:blipFill>
                  <pic:spPr bwMode="auto">
                    <a:xfrm>
                      <a:off x="0" y="0"/>
                      <a:ext cx="1725295" cy="1026795"/>
                    </a:xfrm>
                    <a:prstGeom prst="rect">
                      <a:avLst/>
                    </a:prstGeom>
                    <a:noFill/>
                    <a:ln>
                      <a:noFill/>
                    </a:ln>
                  </pic:spPr>
                </pic:pic>
              </a:graphicData>
            </a:graphic>
          </wp:inline>
        </w:drawing>
      </w:r>
    </w:p>
    <w:p w14:paraId="69582381"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Tablica 6: Godišnjih hod odabranog meteorološkog parametra (Sv.JurajBregu), 1995.-2005.godine</w:t>
      </w:r>
    </w:p>
    <w:tbl>
      <w:tblPr>
        <w:tblW w:w="9246" w:type="dxa"/>
        <w:jc w:val="center"/>
        <w:tblBorders>
          <w:top w:val="single" w:sz="18" w:space="0" w:color="auto"/>
          <w:left w:val="single" w:sz="18" w:space="0" w:color="auto"/>
          <w:bottom w:val="single" w:sz="18" w:space="0" w:color="auto"/>
          <w:right w:val="single" w:sz="18" w:space="0" w:color="auto"/>
        </w:tblBorders>
        <w:tblLayout w:type="fixed"/>
        <w:tblCellMar>
          <w:left w:w="0" w:type="dxa"/>
          <w:right w:w="0" w:type="dxa"/>
        </w:tblCellMar>
        <w:tblLook w:val="0000" w:firstRow="0" w:lastRow="0" w:firstColumn="0" w:lastColumn="0" w:noHBand="0" w:noVBand="0"/>
      </w:tblPr>
      <w:tblGrid>
        <w:gridCol w:w="1021"/>
        <w:gridCol w:w="624"/>
        <w:gridCol w:w="624"/>
        <w:gridCol w:w="624"/>
        <w:gridCol w:w="624"/>
        <w:gridCol w:w="624"/>
        <w:gridCol w:w="624"/>
        <w:gridCol w:w="624"/>
        <w:gridCol w:w="624"/>
        <w:gridCol w:w="624"/>
        <w:gridCol w:w="624"/>
        <w:gridCol w:w="624"/>
        <w:gridCol w:w="624"/>
        <w:gridCol w:w="737"/>
      </w:tblGrid>
      <w:tr w:rsidR="00E732EF" w:rsidRPr="00E732EF" w14:paraId="5FEE2B7A" w14:textId="77777777" w:rsidTr="00E732EF">
        <w:trPr>
          <w:trHeight w:hRule="exact" w:val="340"/>
          <w:jc w:val="center"/>
        </w:trPr>
        <w:tc>
          <w:tcPr>
            <w:tcW w:w="1021" w:type="dxa"/>
            <w:tcBorders>
              <w:top w:val="double" w:sz="4" w:space="0" w:color="auto"/>
              <w:left w:val="double" w:sz="6" w:space="0" w:color="auto"/>
              <w:bottom w:val="double" w:sz="6" w:space="0" w:color="auto"/>
              <w:right w:val="double" w:sz="4" w:space="0" w:color="auto"/>
            </w:tcBorders>
            <w:vAlign w:val="center"/>
          </w:tcPr>
          <w:p w14:paraId="7557077E"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MJESECI</w:t>
            </w:r>
          </w:p>
        </w:tc>
        <w:tc>
          <w:tcPr>
            <w:tcW w:w="624" w:type="dxa"/>
            <w:tcBorders>
              <w:top w:val="double" w:sz="4" w:space="0" w:color="auto"/>
              <w:left w:val="nil"/>
              <w:bottom w:val="double" w:sz="6" w:space="0" w:color="auto"/>
              <w:right w:val="single" w:sz="6" w:space="0" w:color="auto"/>
            </w:tcBorders>
            <w:vAlign w:val="center"/>
          </w:tcPr>
          <w:p w14:paraId="26C761BD"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1</w:t>
            </w:r>
          </w:p>
        </w:tc>
        <w:tc>
          <w:tcPr>
            <w:tcW w:w="624" w:type="dxa"/>
            <w:tcBorders>
              <w:top w:val="double" w:sz="4" w:space="0" w:color="auto"/>
              <w:left w:val="nil"/>
              <w:bottom w:val="double" w:sz="6" w:space="0" w:color="auto"/>
              <w:right w:val="nil"/>
            </w:tcBorders>
            <w:vAlign w:val="center"/>
          </w:tcPr>
          <w:p w14:paraId="49FD57F7"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2</w:t>
            </w:r>
          </w:p>
        </w:tc>
        <w:tc>
          <w:tcPr>
            <w:tcW w:w="624" w:type="dxa"/>
            <w:tcBorders>
              <w:top w:val="double" w:sz="4" w:space="0" w:color="auto"/>
              <w:left w:val="single" w:sz="6" w:space="0" w:color="auto"/>
              <w:bottom w:val="double" w:sz="6" w:space="0" w:color="auto"/>
              <w:right w:val="single" w:sz="6" w:space="0" w:color="auto"/>
            </w:tcBorders>
            <w:vAlign w:val="center"/>
          </w:tcPr>
          <w:p w14:paraId="17248370"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3</w:t>
            </w:r>
          </w:p>
        </w:tc>
        <w:tc>
          <w:tcPr>
            <w:tcW w:w="624" w:type="dxa"/>
            <w:tcBorders>
              <w:top w:val="double" w:sz="4" w:space="0" w:color="auto"/>
              <w:left w:val="nil"/>
              <w:bottom w:val="double" w:sz="6" w:space="0" w:color="auto"/>
              <w:right w:val="nil"/>
            </w:tcBorders>
            <w:vAlign w:val="center"/>
          </w:tcPr>
          <w:p w14:paraId="6ED317F5"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4</w:t>
            </w:r>
          </w:p>
        </w:tc>
        <w:tc>
          <w:tcPr>
            <w:tcW w:w="624" w:type="dxa"/>
            <w:tcBorders>
              <w:top w:val="double" w:sz="4" w:space="0" w:color="auto"/>
              <w:left w:val="single" w:sz="6" w:space="0" w:color="auto"/>
              <w:bottom w:val="double" w:sz="6" w:space="0" w:color="auto"/>
              <w:right w:val="single" w:sz="6" w:space="0" w:color="auto"/>
            </w:tcBorders>
            <w:vAlign w:val="center"/>
          </w:tcPr>
          <w:p w14:paraId="334AFBA7"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5</w:t>
            </w:r>
          </w:p>
        </w:tc>
        <w:tc>
          <w:tcPr>
            <w:tcW w:w="624" w:type="dxa"/>
            <w:tcBorders>
              <w:top w:val="double" w:sz="4" w:space="0" w:color="auto"/>
              <w:left w:val="nil"/>
              <w:bottom w:val="double" w:sz="6" w:space="0" w:color="auto"/>
              <w:right w:val="nil"/>
            </w:tcBorders>
            <w:vAlign w:val="center"/>
          </w:tcPr>
          <w:p w14:paraId="5EA51400"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6</w:t>
            </w:r>
          </w:p>
        </w:tc>
        <w:tc>
          <w:tcPr>
            <w:tcW w:w="624" w:type="dxa"/>
            <w:tcBorders>
              <w:top w:val="double" w:sz="4" w:space="0" w:color="auto"/>
              <w:left w:val="single" w:sz="6" w:space="0" w:color="auto"/>
              <w:bottom w:val="double" w:sz="6" w:space="0" w:color="auto"/>
              <w:right w:val="single" w:sz="6" w:space="0" w:color="auto"/>
            </w:tcBorders>
            <w:vAlign w:val="center"/>
          </w:tcPr>
          <w:p w14:paraId="7DFD3823"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7</w:t>
            </w:r>
          </w:p>
        </w:tc>
        <w:tc>
          <w:tcPr>
            <w:tcW w:w="624" w:type="dxa"/>
            <w:tcBorders>
              <w:top w:val="double" w:sz="4" w:space="0" w:color="auto"/>
              <w:left w:val="nil"/>
              <w:bottom w:val="double" w:sz="6" w:space="0" w:color="auto"/>
              <w:right w:val="nil"/>
            </w:tcBorders>
            <w:vAlign w:val="center"/>
          </w:tcPr>
          <w:p w14:paraId="765F8562"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8</w:t>
            </w:r>
          </w:p>
        </w:tc>
        <w:tc>
          <w:tcPr>
            <w:tcW w:w="624" w:type="dxa"/>
            <w:tcBorders>
              <w:top w:val="double" w:sz="4" w:space="0" w:color="auto"/>
              <w:left w:val="single" w:sz="6" w:space="0" w:color="auto"/>
              <w:bottom w:val="double" w:sz="6" w:space="0" w:color="auto"/>
              <w:right w:val="single" w:sz="6" w:space="0" w:color="auto"/>
            </w:tcBorders>
            <w:vAlign w:val="center"/>
          </w:tcPr>
          <w:p w14:paraId="498CE561"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9</w:t>
            </w:r>
          </w:p>
        </w:tc>
        <w:tc>
          <w:tcPr>
            <w:tcW w:w="624" w:type="dxa"/>
            <w:tcBorders>
              <w:top w:val="double" w:sz="4" w:space="0" w:color="auto"/>
              <w:left w:val="nil"/>
              <w:bottom w:val="double" w:sz="6" w:space="0" w:color="auto"/>
              <w:right w:val="nil"/>
            </w:tcBorders>
            <w:vAlign w:val="center"/>
          </w:tcPr>
          <w:p w14:paraId="3D489FEB"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10</w:t>
            </w:r>
          </w:p>
        </w:tc>
        <w:tc>
          <w:tcPr>
            <w:tcW w:w="624" w:type="dxa"/>
            <w:tcBorders>
              <w:top w:val="double" w:sz="4" w:space="0" w:color="auto"/>
              <w:left w:val="single" w:sz="6" w:space="0" w:color="auto"/>
              <w:bottom w:val="double" w:sz="6" w:space="0" w:color="auto"/>
              <w:right w:val="single" w:sz="6" w:space="0" w:color="auto"/>
            </w:tcBorders>
            <w:vAlign w:val="center"/>
          </w:tcPr>
          <w:p w14:paraId="262BC082"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11</w:t>
            </w:r>
          </w:p>
        </w:tc>
        <w:tc>
          <w:tcPr>
            <w:tcW w:w="624" w:type="dxa"/>
            <w:tcBorders>
              <w:top w:val="double" w:sz="4" w:space="0" w:color="auto"/>
              <w:left w:val="nil"/>
              <w:bottom w:val="double" w:sz="6" w:space="0" w:color="auto"/>
              <w:right w:val="nil"/>
            </w:tcBorders>
            <w:vAlign w:val="center"/>
          </w:tcPr>
          <w:p w14:paraId="7784EF4C"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12</w:t>
            </w:r>
          </w:p>
        </w:tc>
        <w:tc>
          <w:tcPr>
            <w:tcW w:w="737" w:type="dxa"/>
            <w:tcBorders>
              <w:top w:val="double" w:sz="4" w:space="0" w:color="auto"/>
              <w:left w:val="double" w:sz="4" w:space="0" w:color="auto"/>
              <w:bottom w:val="double" w:sz="6" w:space="0" w:color="auto"/>
              <w:right w:val="double" w:sz="6" w:space="0" w:color="auto"/>
            </w:tcBorders>
            <w:vAlign w:val="center"/>
          </w:tcPr>
          <w:p w14:paraId="41DD4007"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GOD</w:t>
            </w:r>
          </w:p>
        </w:tc>
      </w:tr>
      <w:tr w:rsidR="00E732EF" w:rsidRPr="00E732EF" w14:paraId="51F92A62" w14:textId="77777777" w:rsidTr="00E732EF">
        <w:trPr>
          <w:trHeight w:val="249"/>
          <w:jc w:val="center"/>
        </w:trPr>
        <w:tc>
          <w:tcPr>
            <w:tcW w:w="9246" w:type="dxa"/>
            <w:gridSpan w:val="14"/>
            <w:tcBorders>
              <w:top w:val="double" w:sz="4" w:space="0" w:color="auto"/>
              <w:left w:val="double" w:sz="6" w:space="0" w:color="auto"/>
              <w:bottom w:val="single" w:sz="2" w:space="0" w:color="auto"/>
              <w:right w:val="double" w:sz="6" w:space="0" w:color="auto"/>
            </w:tcBorders>
            <w:shd w:val="clear" w:color="auto" w:fill="DBE5F1"/>
            <w:vAlign w:val="center"/>
          </w:tcPr>
          <w:p w14:paraId="4F06C67B" w14:textId="77777777" w:rsidR="00E732EF" w:rsidRPr="00E732EF" w:rsidRDefault="00E732EF" w:rsidP="00E732EF">
            <w:pPr>
              <w:spacing w:after="0" w:line="240" w:lineRule="auto"/>
              <w:ind w:right="113"/>
              <w:jc w:val="center"/>
              <w:rPr>
                <w:rFonts w:ascii="Arial" w:eastAsia="Times New Roman" w:hAnsi="Arial" w:cs="Arial"/>
                <w:b/>
                <w:noProof/>
                <w:snapToGrid w:val="0"/>
                <w:color w:val="000000"/>
                <w:sz w:val="18"/>
                <w:szCs w:val="20"/>
              </w:rPr>
            </w:pPr>
            <w:r w:rsidRPr="00E732EF">
              <w:rPr>
                <w:rFonts w:ascii="Arial" w:eastAsia="Times New Roman" w:hAnsi="Arial" w:cs="Arial"/>
                <w:b/>
                <w:noProof/>
                <w:snapToGrid w:val="0"/>
                <w:color w:val="000000"/>
                <w:sz w:val="18"/>
                <w:szCs w:val="20"/>
              </w:rPr>
              <w:t>BROJ DANA S JAKIM VJETROM</w:t>
            </w:r>
          </w:p>
        </w:tc>
      </w:tr>
      <w:tr w:rsidR="00E732EF" w:rsidRPr="00E732EF" w14:paraId="4D70F8C6" w14:textId="77777777" w:rsidTr="00E732EF">
        <w:trPr>
          <w:trHeight w:val="249"/>
          <w:jc w:val="center"/>
        </w:trPr>
        <w:tc>
          <w:tcPr>
            <w:tcW w:w="1021" w:type="dxa"/>
            <w:tcBorders>
              <w:top w:val="double" w:sz="4" w:space="0" w:color="auto"/>
              <w:left w:val="double" w:sz="6" w:space="0" w:color="auto"/>
              <w:bottom w:val="single" w:sz="2" w:space="0" w:color="auto"/>
              <w:right w:val="double" w:sz="4" w:space="0" w:color="auto"/>
            </w:tcBorders>
            <w:vAlign w:val="center"/>
          </w:tcPr>
          <w:p w14:paraId="5EDBD94D"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SRED</w:t>
            </w:r>
          </w:p>
        </w:tc>
        <w:tc>
          <w:tcPr>
            <w:tcW w:w="624" w:type="dxa"/>
            <w:tcBorders>
              <w:top w:val="double" w:sz="4" w:space="0" w:color="auto"/>
              <w:left w:val="nil"/>
              <w:bottom w:val="single" w:sz="2" w:space="0" w:color="auto"/>
              <w:right w:val="single" w:sz="6" w:space="0" w:color="auto"/>
            </w:tcBorders>
            <w:vAlign w:val="center"/>
          </w:tcPr>
          <w:p w14:paraId="332C47CC"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1.5</w:t>
            </w:r>
          </w:p>
        </w:tc>
        <w:tc>
          <w:tcPr>
            <w:tcW w:w="624" w:type="dxa"/>
            <w:tcBorders>
              <w:top w:val="double" w:sz="4" w:space="0" w:color="auto"/>
              <w:left w:val="nil"/>
              <w:bottom w:val="single" w:sz="2" w:space="0" w:color="auto"/>
              <w:right w:val="nil"/>
            </w:tcBorders>
            <w:vAlign w:val="center"/>
          </w:tcPr>
          <w:p w14:paraId="44CB3B5F"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1.3</w:t>
            </w:r>
          </w:p>
        </w:tc>
        <w:tc>
          <w:tcPr>
            <w:tcW w:w="624" w:type="dxa"/>
            <w:tcBorders>
              <w:top w:val="double" w:sz="4" w:space="0" w:color="auto"/>
              <w:left w:val="single" w:sz="6" w:space="0" w:color="auto"/>
              <w:bottom w:val="single" w:sz="2" w:space="0" w:color="auto"/>
              <w:right w:val="single" w:sz="6" w:space="0" w:color="auto"/>
            </w:tcBorders>
            <w:vAlign w:val="center"/>
          </w:tcPr>
          <w:p w14:paraId="43B17252"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2.2</w:t>
            </w:r>
          </w:p>
        </w:tc>
        <w:tc>
          <w:tcPr>
            <w:tcW w:w="624" w:type="dxa"/>
            <w:tcBorders>
              <w:top w:val="double" w:sz="4" w:space="0" w:color="auto"/>
              <w:left w:val="nil"/>
              <w:bottom w:val="single" w:sz="2" w:space="0" w:color="auto"/>
              <w:right w:val="nil"/>
            </w:tcBorders>
            <w:vAlign w:val="center"/>
          </w:tcPr>
          <w:p w14:paraId="097B8038"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1.4</w:t>
            </w:r>
          </w:p>
        </w:tc>
        <w:tc>
          <w:tcPr>
            <w:tcW w:w="624" w:type="dxa"/>
            <w:tcBorders>
              <w:top w:val="double" w:sz="4" w:space="0" w:color="auto"/>
              <w:left w:val="single" w:sz="6" w:space="0" w:color="auto"/>
              <w:bottom w:val="single" w:sz="2" w:space="0" w:color="auto"/>
              <w:right w:val="single" w:sz="6" w:space="0" w:color="auto"/>
            </w:tcBorders>
            <w:vAlign w:val="center"/>
          </w:tcPr>
          <w:p w14:paraId="61F2A24F"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1.4</w:t>
            </w:r>
          </w:p>
        </w:tc>
        <w:tc>
          <w:tcPr>
            <w:tcW w:w="624" w:type="dxa"/>
            <w:tcBorders>
              <w:top w:val="double" w:sz="4" w:space="0" w:color="auto"/>
              <w:left w:val="nil"/>
              <w:bottom w:val="single" w:sz="2" w:space="0" w:color="auto"/>
              <w:right w:val="nil"/>
            </w:tcBorders>
            <w:vAlign w:val="center"/>
          </w:tcPr>
          <w:p w14:paraId="344992DB"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0.4</w:t>
            </w:r>
          </w:p>
        </w:tc>
        <w:tc>
          <w:tcPr>
            <w:tcW w:w="624" w:type="dxa"/>
            <w:tcBorders>
              <w:top w:val="double" w:sz="4" w:space="0" w:color="auto"/>
              <w:left w:val="single" w:sz="6" w:space="0" w:color="auto"/>
              <w:bottom w:val="single" w:sz="2" w:space="0" w:color="auto"/>
              <w:right w:val="single" w:sz="6" w:space="0" w:color="auto"/>
            </w:tcBorders>
            <w:vAlign w:val="center"/>
          </w:tcPr>
          <w:p w14:paraId="0593B374"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0.7</w:t>
            </w:r>
          </w:p>
        </w:tc>
        <w:tc>
          <w:tcPr>
            <w:tcW w:w="624" w:type="dxa"/>
            <w:tcBorders>
              <w:top w:val="double" w:sz="4" w:space="0" w:color="auto"/>
              <w:left w:val="nil"/>
              <w:bottom w:val="single" w:sz="2" w:space="0" w:color="auto"/>
              <w:right w:val="nil"/>
            </w:tcBorders>
            <w:vAlign w:val="center"/>
          </w:tcPr>
          <w:p w14:paraId="0E581F18"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0.8</w:t>
            </w:r>
          </w:p>
        </w:tc>
        <w:tc>
          <w:tcPr>
            <w:tcW w:w="624" w:type="dxa"/>
            <w:tcBorders>
              <w:top w:val="double" w:sz="4" w:space="0" w:color="auto"/>
              <w:left w:val="single" w:sz="6" w:space="0" w:color="auto"/>
              <w:bottom w:val="single" w:sz="2" w:space="0" w:color="auto"/>
              <w:right w:val="single" w:sz="6" w:space="0" w:color="auto"/>
            </w:tcBorders>
            <w:vAlign w:val="center"/>
          </w:tcPr>
          <w:p w14:paraId="65AD86CD"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0.3</w:t>
            </w:r>
          </w:p>
        </w:tc>
        <w:tc>
          <w:tcPr>
            <w:tcW w:w="624" w:type="dxa"/>
            <w:tcBorders>
              <w:top w:val="double" w:sz="4" w:space="0" w:color="auto"/>
              <w:left w:val="nil"/>
              <w:bottom w:val="single" w:sz="2" w:space="0" w:color="auto"/>
              <w:right w:val="nil"/>
            </w:tcBorders>
            <w:vAlign w:val="center"/>
          </w:tcPr>
          <w:p w14:paraId="4D195152"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0.4</w:t>
            </w:r>
          </w:p>
        </w:tc>
        <w:tc>
          <w:tcPr>
            <w:tcW w:w="624" w:type="dxa"/>
            <w:tcBorders>
              <w:top w:val="double" w:sz="4" w:space="0" w:color="auto"/>
              <w:left w:val="single" w:sz="6" w:space="0" w:color="auto"/>
              <w:bottom w:val="single" w:sz="2" w:space="0" w:color="auto"/>
              <w:right w:val="single" w:sz="6" w:space="0" w:color="auto"/>
            </w:tcBorders>
            <w:vAlign w:val="center"/>
          </w:tcPr>
          <w:p w14:paraId="5F519160"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0.8</w:t>
            </w:r>
          </w:p>
        </w:tc>
        <w:tc>
          <w:tcPr>
            <w:tcW w:w="624" w:type="dxa"/>
            <w:tcBorders>
              <w:top w:val="double" w:sz="4" w:space="0" w:color="auto"/>
              <w:left w:val="nil"/>
              <w:bottom w:val="single" w:sz="2" w:space="0" w:color="auto"/>
              <w:right w:val="nil"/>
            </w:tcBorders>
            <w:vAlign w:val="center"/>
          </w:tcPr>
          <w:p w14:paraId="574300DE"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1.3</w:t>
            </w:r>
          </w:p>
        </w:tc>
        <w:tc>
          <w:tcPr>
            <w:tcW w:w="737" w:type="dxa"/>
            <w:tcBorders>
              <w:top w:val="double" w:sz="4" w:space="0" w:color="auto"/>
              <w:left w:val="double" w:sz="4" w:space="0" w:color="auto"/>
              <w:bottom w:val="single" w:sz="2" w:space="0" w:color="auto"/>
              <w:right w:val="double" w:sz="6" w:space="0" w:color="auto"/>
            </w:tcBorders>
            <w:vAlign w:val="center"/>
          </w:tcPr>
          <w:p w14:paraId="40851B31"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13.0</w:t>
            </w:r>
          </w:p>
        </w:tc>
      </w:tr>
      <w:tr w:rsidR="00E732EF" w:rsidRPr="00E732EF" w14:paraId="4DFAEE37" w14:textId="77777777" w:rsidTr="00E732EF">
        <w:trPr>
          <w:trHeight w:val="249"/>
          <w:jc w:val="center"/>
        </w:trPr>
        <w:tc>
          <w:tcPr>
            <w:tcW w:w="1021" w:type="dxa"/>
            <w:tcBorders>
              <w:top w:val="single" w:sz="2" w:space="0" w:color="auto"/>
              <w:left w:val="double" w:sz="6" w:space="0" w:color="auto"/>
              <w:bottom w:val="single" w:sz="2" w:space="0" w:color="auto"/>
              <w:right w:val="double" w:sz="4" w:space="0" w:color="auto"/>
            </w:tcBorders>
            <w:vAlign w:val="center"/>
          </w:tcPr>
          <w:p w14:paraId="020492D5"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STD</w:t>
            </w:r>
          </w:p>
        </w:tc>
        <w:tc>
          <w:tcPr>
            <w:tcW w:w="624" w:type="dxa"/>
            <w:tcBorders>
              <w:top w:val="single" w:sz="2" w:space="0" w:color="auto"/>
              <w:left w:val="nil"/>
              <w:bottom w:val="single" w:sz="2" w:space="0" w:color="auto"/>
              <w:right w:val="single" w:sz="6" w:space="0" w:color="auto"/>
            </w:tcBorders>
            <w:vAlign w:val="center"/>
          </w:tcPr>
          <w:p w14:paraId="0481B320"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1.6</w:t>
            </w:r>
          </w:p>
        </w:tc>
        <w:tc>
          <w:tcPr>
            <w:tcW w:w="624" w:type="dxa"/>
            <w:tcBorders>
              <w:top w:val="single" w:sz="2" w:space="0" w:color="auto"/>
              <w:left w:val="single" w:sz="6" w:space="0" w:color="auto"/>
              <w:bottom w:val="single" w:sz="2" w:space="0" w:color="auto"/>
              <w:right w:val="single" w:sz="6" w:space="0" w:color="auto"/>
            </w:tcBorders>
            <w:vAlign w:val="center"/>
          </w:tcPr>
          <w:p w14:paraId="7EC17983"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1.7</w:t>
            </w:r>
          </w:p>
        </w:tc>
        <w:tc>
          <w:tcPr>
            <w:tcW w:w="624" w:type="dxa"/>
            <w:tcBorders>
              <w:top w:val="single" w:sz="2" w:space="0" w:color="auto"/>
              <w:left w:val="single" w:sz="6" w:space="0" w:color="auto"/>
              <w:bottom w:val="single" w:sz="2" w:space="0" w:color="auto"/>
              <w:right w:val="single" w:sz="6" w:space="0" w:color="auto"/>
            </w:tcBorders>
            <w:vAlign w:val="center"/>
          </w:tcPr>
          <w:p w14:paraId="5F5F91D6"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2.1</w:t>
            </w:r>
          </w:p>
        </w:tc>
        <w:tc>
          <w:tcPr>
            <w:tcW w:w="624" w:type="dxa"/>
            <w:tcBorders>
              <w:top w:val="single" w:sz="2" w:space="0" w:color="auto"/>
              <w:left w:val="single" w:sz="6" w:space="0" w:color="auto"/>
              <w:bottom w:val="single" w:sz="2" w:space="0" w:color="auto"/>
              <w:right w:val="single" w:sz="6" w:space="0" w:color="auto"/>
            </w:tcBorders>
            <w:vAlign w:val="center"/>
          </w:tcPr>
          <w:p w14:paraId="706AA804"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1.3</w:t>
            </w:r>
          </w:p>
        </w:tc>
        <w:tc>
          <w:tcPr>
            <w:tcW w:w="624" w:type="dxa"/>
            <w:tcBorders>
              <w:top w:val="single" w:sz="2" w:space="0" w:color="auto"/>
              <w:left w:val="single" w:sz="6" w:space="0" w:color="auto"/>
              <w:bottom w:val="single" w:sz="2" w:space="0" w:color="auto"/>
              <w:right w:val="single" w:sz="6" w:space="0" w:color="auto"/>
            </w:tcBorders>
            <w:vAlign w:val="center"/>
          </w:tcPr>
          <w:p w14:paraId="46BC8329"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1.6</w:t>
            </w:r>
          </w:p>
        </w:tc>
        <w:tc>
          <w:tcPr>
            <w:tcW w:w="624" w:type="dxa"/>
            <w:tcBorders>
              <w:top w:val="single" w:sz="2" w:space="0" w:color="auto"/>
              <w:left w:val="single" w:sz="6" w:space="0" w:color="auto"/>
              <w:bottom w:val="single" w:sz="2" w:space="0" w:color="auto"/>
              <w:right w:val="single" w:sz="6" w:space="0" w:color="auto"/>
            </w:tcBorders>
            <w:vAlign w:val="center"/>
          </w:tcPr>
          <w:p w14:paraId="49009057"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0.8</w:t>
            </w:r>
          </w:p>
        </w:tc>
        <w:tc>
          <w:tcPr>
            <w:tcW w:w="624" w:type="dxa"/>
            <w:tcBorders>
              <w:top w:val="single" w:sz="2" w:space="0" w:color="auto"/>
              <w:left w:val="single" w:sz="6" w:space="0" w:color="auto"/>
              <w:bottom w:val="single" w:sz="2" w:space="0" w:color="auto"/>
              <w:right w:val="single" w:sz="6" w:space="0" w:color="auto"/>
            </w:tcBorders>
            <w:vAlign w:val="center"/>
          </w:tcPr>
          <w:p w14:paraId="35AE2848"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1.2</w:t>
            </w:r>
          </w:p>
        </w:tc>
        <w:tc>
          <w:tcPr>
            <w:tcW w:w="624" w:type="dxa"/>
            <w:tcBorders>
              <w:top w:val="single" w:sz="2" w:space="0" w:color="auto"/>
              <w:left w:val="single" w:sz="6" w:space="0" w:color="auto"/>
              <w:bottom w:val="single" w:sz="2" w:space="0" w:color="auto"/>
              <w:right w:val="single" w:sz="6" w:space="0" w:color="auto"/>
            </w:tcBorders>
            <w:vAlign w:val="center"/>
          </w:tcPr>
          <w:p w14:paraId="754C215A"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1.0</w:t>
            </w:r>
          </w:p>
        </w:tc>
        <w:tc>
          <w:tcPr>
            <w:tcW w:w="624" w:type="dxa"/>
            <w:tcBorders>
              <w:top w:val="single" w:sz="2" w:space="0" w:color="auto"/>
              <w:left w:val="single" w:sz="6" w:space="0" w:color="auto"/>
              <w:bottom w:val="single" w:sz="2" w:space="0" w:color="auto"/>
              <w:right w:val="single" w:sz="6" w:space="0" w:color="auto"/>
            </w:tcBorders>
            <w:vAlign w:val="center"/>
          </w:tcPr>
          <w:p w14:paraId="04A879AD"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0.6</w:t>
            </w:r>
          </w:p>
        </w:tc>
        <w:tc>
          <w:tcPr>
            <w:tcW w:w="624" w:type="dxa"/>
            <w:tcBorders>
              <w:top w:val="single" w:sz="2" w:space="0" w:color="auto"/>
              <w:left w:val="single" w:sz="6" w:space="0" w:color="auto"/>
              <w:bottom w:val="single" w:sz="2" w:space="0" w:color="auto"/>
              <w:right w:val="single" w:sz="6" w:space="0" w:color="auto"/>
            </w:tcBorders>
            <w:vAlign w:val="center"/>
          </w:tcPr>
          <w:p w14:paraId="4E509E9D"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0.7</w:t>
            </w:r>
          </w:p>
        </w:tc>
        <w:tc>
          <w:tcPr>
            <w:tcW w:w="624" w:type="dxa"/>
            <w:tcBorders>
              <w:top w:val="single" w:sz="2" w:space="0" w:color="auto"/>
              <w:left w:val="single" w:sz="6" w:space="0" w:color="auto"/>
              <w:bottom w:val="single" w:sz="2" w:space="0" w:color="auto"/>
              <w:right w:val="single" w:sz="6" w:space="0" w:color="auto"/>
            </w:tcBorders>
            <w:vAlign w:val="center"/>
          </w:tcPr>
          <w:p w14:paraId="05E1D2CB"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0.9</w:t>
            </w:r>
          </w:p>
        </w:tc>
        <w:tc>
          <w:tcPr>
            <w:tcW w:w="624" w:type="dxa"/>
            <w:tcBorders>
              <w:top w:val="single" w:sz="2" w:space="0" w:color="auto"/>
              <w:left w:val="single" w:sz="6" w:space="0" w:color="auto"/>
              <w:bottom w:val="single" w:sz="2" w:space="0" w:color="auto"/>
              <w:right w:val="nil"/>
            </w:tcBorders>
            <w:vAlign w:val="center"/>
          </w:tcPr>
          <w:p w14:paraId="43605C7C"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1.4</w:t>
            </w:r>
          </w:p>
        </w:tc>
        <w:tc>
          <w:tcPr>
            <w:tcW w:w="737" w:type="dxa"/>
            <w:tcBorders>
              <w:top w:val="single" w:sz="2" w:space="0" w:color="auto"/>
              <w:left w:val="double" w:sz="4" w:space="0" w:color="auto"/>
              <w:bottom w:val="single" w:sz="2" w:space="0" w:color="auto"/>
              <w:right w:val="double" w:sz="6" w:space="0" w:color="auto"/>
            </w:tcBorders>
            <w:vAlign w:val="center"/>
          </w:tcPr>
          <w:p w14:paraId="62C8D75D"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6.7</w:t>
            </w:r>
          </w:p>
        </w:tc>
      </w:tr>
      <w:tr w:rsidR="00E732EF" w:rsidRPr="00E732EF" w14:paraId="0DDC7944" w14:textId="77777777" w:rsidTr="00E732EF">
        <w:trPr>
          <w:trHeight w:val="249"/>
          <w:jc w:val="center"/>
        </w:trPr>
        <w:tc>
          <w:tcPr>
            <w:tcW w:w="1021" w:type="dxa"/>
            <w:tcBorders>
              <w:top w:val="single" w:sz="2" w:space="0" w:color="auto"/>
              <w:left w:val="double" w:sz="6" w:space="0" w:color="auto"/>
              <w:bottom w:val="single" w:sz="2" w:space="0" w:color="auto"/>
              <w:right w:val="double" w:sz="4" w:space="0" w:color="auto"/>
            </w:tcBorders>
            <w:vAlign w:val="center"/>
          </w:tcPr>
          <w:p w14:paraId="2E918F3F"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MIN</w:t>
            </w:r>
          </w:p>
        </w:tc>
        <w:tc>
          <w:tcPr>
            <w:tcW w:w="624" w:type="dxa"/>
            <w:tcBorders>
              <w:top w:val="single" w:sz="2" w:space="0" w:color="auto"/>
              <w:left w:val="nil"/>
              <w:bottom w:val="single" w:sz="2" w:space="0" w:color="auto"/>
              <w:right w:val="single" w:sz="6" w:space="0" w:color="auto"/>
            </w:tcBorders>
            <w:vAlign w:val="bottom"/>
          </w:tcPr>
          <w:p w14:paraId="21312082"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74B8CCAD"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7091048D"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0668913C"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74984F95"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12320E74"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25612D6B"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1C181AF8"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63CF5F4D"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25880A8E"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6F09AD8B"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nil"/>
            </w:tcBorders>
            <w:vAlign w:val="bottom"/>
          </w:tcPr>
          <w:p w14:paraId="6153A408"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737" w:type="dxa"/>
            <w:tcBorders>
              <w:top w:val="single" w:sz="2" w:space="0" w:color="auto"/>
              <w:left w:val="double" w:sz="4" w:space="0" w:color="auto"/>
              <w:bottom w:val="single" w:sz="2" w:space="0" w:color="auto"/>
              <w:right w:val="double" w:sz="6" w:space="0" w:color="auto"/>
            </w:tcBorders>
            <w:vAlign w:val="bottom"/>
          </w:tcPr>
          <w:p w14:paraId="60C8AE88"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r>
      <w:tr w:rsidR="00E732EF" w:rsidRPr="00E732EF" w14:paraId="2EC1DF67" w14:textId="77777777" w:rsidTr="00E732EF">
        <w:trPr>
          <w:trHeight w:val="249"/>
          <w:jc w:val="center"/>
        </w:trPr>
        <w:tc>
          <w:tcPr>
            <w:tcW w:w="1021" w:type="dxa"/>
            <w:tcBorders>
              <w:top w:val="single" w:sz="2" w:space="0" w:color="auto"/>
              <w:left w:val="double" w:sz="6" w:space="0" w:color="auto"/>
              <w:bottom w:val="double" w:sz="6" w:space="0" w:color="auto"/>
              <w:right w:val="double" w:sz="4" w:space="0" w:color="auto"/>
            </w:tcBorders>
            <w:vAlign w:val="center"/>
          </w:tcPr>
          <w:p w14:paraId="5E24E1B8"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MAKS</w:t>
            </w:r>
          </w:p>
        </w:tc>
        <w:tc>
          <w:tcPr>
            <w:tcW w:w="624" w:type="dxa"/>
            <w:tcBorders>
              <w:top w:val="single" w:sz="2" w:space="0" w:color="auto"/>
              <w:left w:val="nil"/>
              <w:bottom w:val="double" w:sz="6" w:space="0" w:color="auto"/>
              <w:right w:val="single" w:sz="6" w:space="0" w:color="auto"/>
            </w:tcBorders>
            <w:vAlign w:val="bottom"/>
          </w:tcPr>
          <w:p w14:paraId="47F43CA4"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5</w:t>
            </w:r>
          </w:p>
        </w:tc>
        <w:tc>
          <w:tcPr>
            <w:tcW w:w="624" w:type="dxa"/>
            <w:tcBorders>
              <w:top w:val="single" w:sz="2" w:space="0" w:color="auto"/>
              <w:left w:val="single" w:sz="6" w:space="0" w:color="auto"/>
              <w:bottom w:val="double" w:sz="6" w:space="0" w:color="auto"/>
              <w:right w:val="single" w:sz="6" w:space="0" w:color="auto"/>
            </w:tcBorders>
            <w:vAlign w:val="bottom"/>
          </w:tcPr>
          <w:p w14:paraId="7FC72F86"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6</w:t>
            </w:r>
          </w:p>
        </w:tc>
        <w:tc>
          <w:tcPr>
            <w:tcW w:w="624" w:type="dxa"/>
            <w:tcBorders>
              <w:top w:val="single" w:sz="2" w:space="0" w:color="auto"/>
              <w:left w:val="single" w:sz="6" w:space="0" w:color="auto"/>
              <w:bottom w:val="double" w:sz="6" w:space="0" w:color="auto"/>
              <w:right w:val="single" w:sz="6" w:space="0" w:color="auto"/>
            </w:tcBorders>
            <w:vAlign w:val="bottom"/>
          </w:tcPr>
          <w:p w14:paraId="1777209E"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6</w:t>
            </w:r>
          </w:p>
        </w:tc>
        <w:tc>
          <w:tcPr>
            <w:tcW w:w="624" w:type="dxa"/>
            <w:tcBorders>
              <w:top w:val="single" w:sz="2" w:space="0" w:color="auto"/>
              <w:left w:val="single" w:sz="6" w:space="0" w:color="auto"/>
              <w:bottom w:val="double" w:sz="6" w:space="0" w:color="auto"/>
              <w:right w:val="single" w:sz="6" w:space="0" w:color="auto"/>
            </w:tcBorders>
            <w:vAlign w:val="bottom"/>
          </w:tcPr>
          <w:p w14:paraId="502B0778"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3</w:t>
            </w:r>
          </w:p>
        </w:tc>
        <w:tc>
          <w:tcPr>
            <w:tcW w:w="624" w:type="dxa"/>
            <w:tcBorders>
              <w:top w:val="single" w:sz="2" w:space="0" w:color="auto"/>
              <w:left w:val="single" w:sz="6" w:space="0" w:color="auto"/>
              <w:bottom w:val="double" w:sz="6" w:space="0" w:color="auto"/>
              <w:right w:val="single" w:sz="6" w:space="0" w:color="auto"/>
            </w:tcBorders>
            <w:vAlign w:val="bottom"/>
          </w:tcPr>
          <w:p w14:paraId="1DCA57AB"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4</w:t>
            </w:r>
          </w:p>
        </w:tc>
        <w:tc>
          <w:tcPr>
            <w:tcW w:w="624" w:type="dxa"/>
            <w:tcBorders>
              <w:top w:val="single" w:sz="2" w:space="0" w:color="auto"/>
              <w:left w:val="single" w:sz="6" w:space="0" w:color="auto"/>
              <w:bottom w:val="double" w:sz="6" w:space="0" w:color="auto"/>
              <w:right w:val="single" w:sz="6" w:space="0" w:color="auto"/>
            </w:tcBorders>
            <w:vAlign w:val="bottom"/>
          </w:tcPr>
          <w:p w14:paraId="76920320"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3</w:t>
            </w:r>
          </w:p>
        </w:tc>
        <w:tc>
          <w:tcPr>
            <w:tcW w:w="624" w:type="dxa"/>
            <w:tcBorders>
              <w:top w:val="single" w:sz="2" w:space="0" w:color="auto"/>
              <w:left w:val="single" w:sz="6" w:space="0" w:color="auto"/>
              <w:bottom w:val="double" w:sz="6" w:space="0" w:color="auto"/>
              <w:right w:val="single" w:sz="6" w:space="0" w:color="auto"/>
            </w:tcBorders>
            <w:vAlign w:val="bottom"/>
          </w:tcPr>
          <w:p w14:paraId="5A8ED1D1"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4</w:t>
            </w:r>
          </w:p>
        </w:tc>
        <w:tc>
          <w:tcPr>
            <w:tcW w:w="624" w:type="dxa"/>
            <w:tcBorders>
              <w:top w:val="single" w:sz="2" w:space="0" w:color="auto"/>
              <w:left w:val="single" w:sz="6" w:space="0" w:color="auto"/>
              <w:bottom w:val="double" w:sz="6" w:space="0" w:color="auto"/>
              <w:right w:val="single" w:sz="6" w:space="0" w:color="auto"/>
            </w:tcBorders>
            <w:vAlign w:val="bottom"/>
          </w:tcPr>
          <w:p w14:paraId="34142E0C"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3</w:t>
            </w:r>
          </w:p>
        </w:tc>
        <w:tc>
          <w:tcPr>
            <w:tcW w:w="624" w:type="dxa"/>
            <w:tcBorders>
              <w:top w:val="single" w:sz="2" w:space="0" w:color="auto"/>
              <w:left w:val="single" w:sz="6" w:space="0" w:color="auto"/>
              <w:bottom w:val="double" w:sz="6" w:space="0" w:color="auto"/>
              <w:right w:val="single" w:sz="6" w:space="0" w:color="auto"/>
            </w:tcBorders>
            <w:vAlign w:val="bottom"/>
          </w:tcPr>
          <w:p w14:paraId="05374426"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2</w:t>
            </w:r>
          </w:p>
        </w:tc>
        <w:tc>
          <w:tcPr>
            <w:tcW w:w="624" w:type="dxa"/>
            <w:tcBorders>
              <w:top w:val="single" w:sz="2" w:space="0" w:color="auto"/>
              <w:left w:val="single" w:sz="6" w:space="0" w:color="auto"/>
              <w:bottom w:val="double" w:sz="6" w:space="0" w:color="auto"/>
              <w:right w:val="single" w:sz="6" w:space="0" w:color="auto"/>
            </w:tcBorders>
            <w:vAlign w:val="bottom"/>
          </w:tcPr>
          <w:p w14:paraId="343E2BB7"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2</w:t>
            </w:r>
          </w:p>
        </w:tc>
        <w:tc>
          <w:tcPr>
            <w:tcW w:w="624" w:type="dxa"/>
            <w:tcBorders>
              <w:top w:val="single" w:sz="2" w:space="0" w:color="auto"/>
              <w:left w:val="single" w:sz="6" w:space="0" w:color="auto"/>
              <w:bottom w:val="double" w:sz="6" w:space="0" w:color="auto"/>
              <w:right w:val="single" w:sz="6" w:space="0" w:color="auto"/>
            </w:tcBorders>
            <w:vAlign w:val="bottom"/>
          </w:tcPr>
          <w:p w14:paraId="501FD103"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3</w:t>
            </w:r>
          </w:p>
        </w:tc>
        <w:tc>
          <w:tcPr>
            <w:tcW w:w="624" w:type="dxa"/>
            <w:tcBorders>
              <w:top w:val="single" w:sz="2" w:space="0" w:color="auto"/>
              <w:left w:val="single" w:sz="6" w:space="0" w:color="auto"/>
              <w:bottom w:val="double" w:sz="6" w:space="0" w:color="auto"/>
              <w:right w:val="nil"/>
            </w:tcBorders>
            <w:vAlign w:val="bottom"/>
          </w:tcPr>
          <w:p w14:paraId="6FA24F81"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5</w:t>
            </w:r>
          </w:p>
        </w:tc>
        <w:tc>
          <w:tcPr>
            <w:tcW w:w="737" w:type="dxa"/>
            <w:tcBorders>
              <w:top w:val="single" w:sz="2" w:space="0" w:color="auto"/>
              <w:left w:val="double" w:sz="4" w:space="0" w:color="auto"/>
              <w:bottom w:val="double" w:sz="6" w:space="0" w:color="auto"/>
              <w:right w:val="double" w:sz="6" w:space="0" w:color="auto"/>
            </w:tcBorders>
            <w:vAlign w:val="bottom"/>
          </w:tcPr>
          <w:p w14:paraId="40D10BE3"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24</w:t>
            </w:r>
          </w:p>
        </w:tc>
      </w:tr>
      <w:tr w:rsidR="00E732EF" w:rsidRPr="00E732EF" w14:paraId="5F537A0E" w14:textId="77777777" w:rsidTr="00E732EF">
        <w:trPr>
          <w:trHeight w:val="249"/>
          <w:jc w:val="center"/>
        </w:trPr>
        <w:tc>
          <w:tcPr>
            <w:tcW w:w="9246" w:type="dxa"/>
            <w:gridSpan w:val="14"/>
            <w:tcBorders>
              <w:top w:val="double" w:sz="4" w:space="0" w:color="auto"/>
              <w:left w:val="double" w:sz="6" w:space="0" w:color="auto"/>
              <w:bottom w:val="single" w:sz="2" w:space="0" w:color="auto"/>
              <w:right w:val="double" w:sz="6" w:space="0" w:color="auto"/>
            </w:tcBorders>
            <w:shd w:val="clear" w:color="auto" w:fill="DBE5F1"/>
            <w:vAlign w:val="center"/>
          </w:tcPr>
          <w:p w14:paraId="5EA44763" w14:textId="77777777" w:rsidR="00E732EF" w:rsidRPr="00E732EF" w:rsidRDefault="00E732EF" w:rsidP="00E732EF">
            <w:pPr>
              <w:spacing w:after="0" w:line="240" w:lineRule="auto"/>
              <w:ind w:right="113"/>
              <w:jc w:val="center"/>
              <w:rPr>
                <w:rFonts w:ascii="Arial" w:eastAsia="Times New Roman" w:hAnsi="Arial" w:cs="Arial"/>
                <w:b/>
                <w:noProof/>
                <w:snapToGrid w:val="0"/>
                <w:color w:val="000000"/>
                <w:sz w:val="18"/>
                <w:szCs w:val="20"/>
              </w:rPr>
            </w:pPr>
            <w:r w:rsidRPr="00E732EF">
              <w:rPr>
                <w:rFonts w:ascii="Arial" w:eastAsia="Times New Roman" w:hAnsi="Arial" w:cs="Arial"/>
                <w:b/>
                <w:noProof/>
                <w:snapToGrid w:val="0"/>
                <w:color w:val="000000"/>
                <w:sz w:val="18"/>
                <w:szCs w:val="20"/>
              </w:rPr>
              <w:t>BROJ DANA S OLUJNIM VJETROM</w:t>
            </w:r>
          </w:p>
        </w:tc>
      </w:tr>
      <w:tr w:rsidR="00E732EF" w:rsidRPr="00E732EF" w14:paraId="60B1D716" w14:textId="77777777" w:rsidTr="00E732EF">
        <w:trPr>
          <w:trHeight w:val="249"/>
          <w:jc w:val="center"/>
        </w:trPr>
        <w:tc>
          <w:tcPr>
            <w:tcW w:w="1021" w:type="dxa"/>
            <w:tcBorders>
              <w:top w:val="double" w:sz="4" w:space="0" w:color="auto"/>
              <w:left w:val="double" w:sz="6" w:space="0" w:color="auto"/>
              <w:bottom w:val="single" w:sz="2" w:space="0" w:color="auto"/>
              <w:right w:val="double" w:sz="4" w:space="0" w:color="auto"/>
            </w:tcBorders>
            <w:vAlign w:val="center"/>
          </w:tcPr>
          <w:p w14:paraId="207E43CE"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SRED</w:t>
            </w:r>
          </w:p>
        </w:tc>
        <w:tc>
          <w:tcPr>
            <w:tcW w:w="624" w:type="dxa"/>
            <w:tcBorders>
              <w:top w:val="double" w:sz="4" w:space="0" w:color="auto"/>
              <w:left w:val="nil"/>
              <w:bottom w:val="single" w:sz="2" w:space="0" w:color="auto"/>
              <w:right w:val="single" w:sz="6" w:space="0" w:color="auto"/>
            </w:tcBorders>
            <w:vAlign w:val="center"/>
          </w:tcPr>
          <w:p w14:paraId="26FBEBB6"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double" w:sz="4" w:space="0" w:color="auto"/>
              <w:left w:val="nil"/>
              <w:bottom w:val="single" w:sz="2" w:space="0" w:color="auto"/>
              <w:right w:val="nil"/>
            </w:tcBorders>
            <w:vAlign w:val="center"/>
          </w:tcPr>
          <w:p w14:paraId="298E6F99"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0.1</w:t>
            </w:r>
          </w:p>
        </w:tc>
        <w:tc>
          <w:tcPr>
            <w:tcW w:w="624" w:type="dxa"/>
            <w:tcBorders>
              <w:top w:val="double" w:sz="4" w:space="0" w:color="auto"/>
              <w:left w:val="single" w:sz="6" w:space="0" w:color="auto"/>
              <w:bottom w:val="single" w:sz="2" w:space="0" w:color="auto"/>
              <w:right w:val="single" w:sz="6" w:space="0" w:color="auto"/>
            </w:tcBorders>
            <w:vAlign w:val="center"/>
          </w:tcPr>
          <w:p w14:paraId="585C0930"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0.1</w:t>
            </w:r>
          </w:p>
        </w:tc>
        <w:tc>
          <w:tcPr>
            <w:tcW w:w="624" w:type="dxa"/>
            <w:tcBorders>
              <w:top w:val="double" w:sz="4" w:space="0" w:color="auto"/>
              <w:left w:val="nil"/>
              <w:bottom w:val="single" w:sz="2" w:space="0" w:color="auto"/>
              <w:right w:val="nil"/>
            </w:tcBorders>
            <w:vAlign w:val="center"/>
          </w:tcPr>
          <w:p w14:paraId="5DD950A6"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0.1</w:t>
            </w:r>
          </w:p>
        </w:tc>
        <w:tc>
          <w:tcPr>
            <w:tcW w:w="624" w:type="dxa"/>
            <w:tcBorders>
              <w:top w:val="double" w:sz="4" w:space="0" w:color="auto"/>
              <w:left w:val="single" w:sz="6" w:space="0" w:color="auto"/>
              <w:bottom w:val="single" w:sz="2" w:space="0" w:color="auto"/>
              <w:right w:val="single" w:sz="6" w:space="0" w:color="auto"/>
            </w:tcBorders>
            <w:vAlign w:val="center"/>
          </w:tcPr>
          <w:p w14:paraId="74F7E4D1"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double" w:sz="4" w:space="0" w:color="auto"/>
              <w:left w:val="nil"/>
              <w:bottom w:val="single" w:sz="2" w:space="0" w:color="auto"/>
              <w:right w:val="nil"/>
            </w:tcBorders>
            <w:vAlign w:val="center"/>
          </w:tcPr>
          <w:p w14:paraId="65121112"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double" w:sz="4" w:space="0" w:color="auto"/>
              <w:left w:val="single" w:sz="6" w:space="0" w:color="auto"/>
              <w:bottom w:val="single" w:sz="2" w:space="0" w:color="auto"/>
              <w:right w:val="single" w:sz="6" w:space="0" w:color="auto"/>
            </w:tcBorders>
            <w:vAlign w:val="center"/>
          </w:tcPr>
          <w:p w14:paraId="0125D628"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double" w:sz="4" w:space="0" w:color="auto"/>
              <w:left w:val="nil"/>
              <w:bottom w:val="single" w:sz="2" w:space="0" w:color="auto"/>
              <w:right w:val="nil"/>
            </w:tcBorders>
            <w:vAlign w:val="center"/>
          </w:tcPr>
          <w:p w14:paraId="23955E40"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0.1</w:t>
            </w:r>
          </w:p>
        </w:tc>
        <w:tc>
          <w:tcPr>
            <w:tcW w:w="624" w:type="dxa"/>
            <w:tcBorders>
              <w:top w:val="double" w:sz="4" w:space="0" w:color="auto"/>
              <w:left w:val="single" w:sz="6" w:space="0" w:color="auto"/>
              <w:bottom w:val="single" w:sz="2" w:space="0" w:color="auto"/>
              <w:right w:val="single" w:sz="6" w:space="0" w:color="auto"/>
            </w:tcBorders>
            <w:vAlign w:val="center"/>
          </w:tcPr>
          <w:p w14:paraId="344D8D0D"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double" w:sz="4" w:space="0" w:color="auto"/>
              <w:left w:val="nil"/>
              <w:bottom w:val="single" w:sz="2" w:space="0" w:color="auto"/>
              <w:right w:val="nil"/>
            </w:tcBorders>
            <w:vAlign w:val="center"/>
          </w:tcPr>
          <w:p w14:paraId="1E28FBDC"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double" w:sz="4" w:space="0" w:color="auto"/>
              <w:left w:val="single" w:sz="6" w:space="0" w:color="auto"/>
              <w:bottom w:val="single" w:sz="2" w:space="0" w:color="auto"/>
              <w:right w:val="single" w:sz="6" w:space="0" w:color="auto"/>
            </w:tcBorders>
            <w:vAlign w:val="center"/>
          </w:tcPr>
          <w:p w14:paraId="2552F7BC"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double" w:sz="4" w:space="0" w:color="auto"/>
              <w:left w:val="nil"/>
              <w:bottom w:val="single" w:sz="2" w:space="0" w:color="auto"/>
              <w:right w:val="nil"/>
            </w:tcBorders>
            <w:vAlign w:val="center"/>
          </w:tcPr>
          <w:p w14:paraId="7AF6AA18"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737" w:type="dxa"/>
            <w:tcBorders>
              <w:top w:val="double" w:sz="4" w:space="0" w:color="auto"/>
              <w:left w:val="double" w:sz="4" w:space="0" w:color="auto"/>
              <w:bottom w:val="single" w:sz="2" w:space="0" w:color="auto"/>
              <w:right w:val="double" w:sz="6" w:space="0" w:color="auto"/>
            </w:tcBorders>
            <w:vAlign w:val="center"/>
          </w:tcPr>
          <w:p w14:paraId="63E84527"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0.3</w:t>
            </w:r>
          </w:p>
        </w:tc>
      </w:tr>
      <w:tr w:rsidR="00E732EF" w:rsidRPr="00E732EF" w14:paraId="0179BABB" w14:textId="77777777" w:rsidTr="00E732EF">
        <w:trPr>
          <w:trHeight w:val="249"/>
          <w:jc w:val="center"/>
        </w:trPr>
        <w:tc>
          <w:tcPr>
            <w:tcW w:w="1021" w:type="dxa"/>
            <w:tcBorders>
              <w:top w:val="single" w:sz="2" w:space="0" w:color="auto"/>
              <w:left w:val="double" w:sz="6" w:space="0" w:color="auto"/>
              <w:bottom w:val="single" w:sz="2" w:space="0" w:color="auto"/>
              <w:right w:val="double" w:sz="4" w:space="0" w:color="auto"/>
            </w:tcBorders>
            <w:vAlign w:val="center"/>
          </w:tcPr>
          <w:p w14:paraId="219552BE"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STD</w:t>
            </w:r>
          </w:p>
        </w:tc>
        <w:tc>
          <w:tcPr>
            <w:tcW w:w="624" w:type="dxa"/>
            <w:tcBorders>
              <w:top w:val="single" w:sz="2" w:space="0" w:color="auto"/>
              <w:left w:val="nil"/>
              <w:bottom w:val="single" w:sz="2" w:space="0" w:color="auto"/>
              <w:right w:val="single" w:sz="6" w:space="0" w:color="auto"/>
            </w:tcBorders>
            <w:vAlign w:val="center"/>
          </w:tcPr>
          <w:p w14:paraId="7893FE24"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single" w:sz="2" w:space="0" w:color="auto"/>
              <w:left w:val="single" w:sz="6" w:space="0" w:color="auto"/>
              <w:bottom w:val="single" w:sz="2" w:space="0" w:color="auto"/>
              <w:right w:val="single" w:sz="6" w:space="0" w:color="auto"/>
            </w:tcBorders>
            <w:vAlign w:val="center"/>
          </w:tcPr>
          <w:p w14:paraId="608990FB"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0.3</w:t>
            </w:r>
          </w:p>
        </w:tc>
        <w:tc>
          <w:tcPr>
            <w:tcW w:w="624" w:type="dxa"/>
            <w:tcBorders>
              <w:top w:val="single" w:sz="2" w:space="0" w:color="auto"/>
              <w:left w:val="single" w:sz="6" w:space="0" w:color="auto"/>
              <w:bottom w:val="single" w:sz="2" w:space="0" w:color="auto"/>
              <w:right w:val="single" w:sz="6" w:space="0" w:color="auto"/>
            </w:tcBorders>
            <w:vAlign w:val="center"/>
          </w:tcPr>
          <w:p w14:paraId="188BC839"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0.2</w:t>
            </w:r>
          </w:p>
        </w:tc>
        <w:tc>
          <w:tcPr>
            <w:tcW w:w="624" w:type="dxa"/>
            <w:tcBorders>
              <w:top w:val="single" w:sz="2" w:space="0" w:color="auto"/>
              <w:left w:val="single" w:sz="6" w:space="0" w:color="auto"/>
              <w:bottom w:val="single" w:sz="2" w:space="0" w:color="auto"/>
              <w:right w:val="single" w:sz="6" w:space="0" w:color="auto"/>
            </w:tcBorders>
            <w:vAlign w:val="center"/>
          </w:tcPr>
          <w:p w14:paraId="458D00C8"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0.2</w:t>
            </w:r>
          </w:p>
        </w:tc>
        <w:tc>
          <w:tcPr>
            <w:tcW w:w="624" w:type="dxa"/>
            <w:tcBorders>
              <w:top w:val="single" w:sz="2" w:space="0" w:color="auto"/>
              <w:left w:val="single" w:sz="6" w:space="0" w:color="auto"/>
              <w:bottom w:val="single" w:sz="2" w:space="0" w:color="auto"/>
              <w:right w:val="single" w:sz="6" w:space="0" w:color="auto"/>
            </w:tcBorders>
            <w:vAlign w:val="center"/>
          </w:tcPr>
          <w:p w14:paraId="4D63DCD6"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single" w:sz="2" w:space="0" w:color="auto"/>
              <w:left w:val="single" w:sz="6" w:space="0" w:color="auto"/>
              <w:bottom w:val="single" w:sz="2" w:space="0" w:color="auto"/>
              <w:right w:val="single" w:sz="6" w:space="0" w:color="auto"/>
            </w:tcBorders>
            <w:vAlign w:val="center"/>
          </w:tcPr>
          <w:p w14:paraId="0B1BD1F7"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single" w:sz="2" w:space="0" w:color="auto"/>
              <w:left w:val="single" w:sz="6" w:space="0" w:color="auto"/>
              <w:bottom w:val="single" w:sz="2" w:space="0" w:color="auto"/>
              <w:right w:val="single" w:sz="6" w:space="0" w:color="auto"/>
            </w:tcBorders>
            <w:vAlign w:val="center"/>
          </w:tcPr>
          <w:p w14:paraId="4552AA80"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single" w:sz="2" w:space="0" w:color="auto"/>
              <w:left w:val="single" w:sz="6" w:space="0" w:color="auto"/>
              <w:bottom w:val="single" w:sz="2" w:space="0" w:color="auto"/>
              <w:right w:val="single" w:sz="6" w:space="0" w:color="auto"/>
            </w:tcBorders>
            <w:vAlign w:val="center"/>
          </w:tcPr>
          <w:p w14:paraId="0F63CC11"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0.2</w:t>
            </w:r>
          </w:p>
        </w:tc>
        <w:tc>
          <w:tcPr>
            <w:tcW w:w="624" w:type="dxa"/>
            <w:tcBorders>
              <w:top w:val="single" w:sz="2" w:space="0" w:color="auto"/>
              <w:left w:val="single" w:sz="6" w:space="0" w:color="auto"/>
              <w:bottom w:val="single" w:sz="2" w:space="0" w:color="auto"/>
              <w:right w:val="single" w:sz="6" w:space="0" w:color="auto"/>
            </w:tcBorders>
            <w:vAlign w:val="center"/>
          </w:tcPr>
          <w:p w14:paraId="02985A4F"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single" w:sz="2" w:space="0" w:color="auto"/>
              <w:left w:val="single" w:sz="6" w:space="0" w:color="auto"/>
              <w:bottom w:val="single" w:sz="2" w:space="0" w:color="auto"/>
              <w:right w:val="single" w:sz="6" w:space="0" w:color="auto"/>
            </w:tcBorders>
            <w:vAlign w:val="center"/>
          </w:tcPr>
          <w:p w14:paraId="29CD29AB"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single" w:sz="2" w:space="0" w:color="auto"/>
              <w:left w:val="single" w:sz="6" w:space="0" w:color="auto"/>
              <w:bottom w:val="single" w:sz="2" w:space="0" w:color="auto"/>
              <w:right w:val="single" w:sz="6" w:space="0" w:color="auto"/>
            </w:tcBorders>
            <w:vAlign w:val="center"/>
          </w:tcPr>
          <w:p w14:paraId="3EC45BF7"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single" w:sz="2" w:space="0" w:color="auto"/>
              <w:left w:val="single" w:sz="6" w:space="0" w:color="auto"/>
              <w:bottom w:val="single" w:sz="2" w:space="0" w:color="auto"/>
              <w:right w:val="nil"/>
            </w:tcBorders>
            <w:vAlign w:val="center"/>
          </w:tcPr>
          <w:p w14:paraId="0E08F138"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737" w:type="dxa"/>
            <w:tcBorders>
              <w:top w:val="single" w:sz="2" w:space="0" w:color="auto"/>
              <w:left w:val="double" w:sz="4" w:space="0" w:color="auto"/>
              <w:bottom w:val="single" w:sz="2" w:space="0" w:color="auto"/>
              <w:right w:val="double" w:sz="6" w:space="0" w:color="auto"/>
            </w:tcBorders>
            <w:vAlign w:val="center"/>
          </w:tcPr>
          <w:p w14:paraId="081AA6B2"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0.7</w:t>
            </w:r>
          </w:p>
        </w:tc>
      </w:tr>
      <w:tr w:rsidR="00E732EF" w:rsidRPr="00E732EF" w14:paraId="4405EC28" w14:textId="77777777" w:rsidTr="00E732EF">
        <w:trPr>
          <w:trHeight w:val="249"/>
          <w:jc w:val="center"/>
        </w:trPr>
        <w:tc>
          <w:tcPr>
            <w:tcW w:w="1021" w:type="dxa"/>
            <w:tcBorders>
              <w:top w:val="single" w:sz="2" w:space="0" w:color="auto"/>
              <w:left w:val="double" w:sz="6" w:space="0" w:color="auto"/>
              <w:bottom w:val="single" w:sz="2" w:space="0" w:color="auto"/>
              <w:right w:val="double" w:sz="4" w:space="0" w:color="auto"/>
            </w:tcBorders>
            <w:vAlign w:val="center"/>
          </w:tcPr>
          <w:p w14:paraId="35FD5706"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MIN</w:t>
            </w:r>
          </w:p>
        </w:tc>
        <w:tc>
          <w:tcPr>
            <w:tcW w:w="624" w:type="dxa"/>
            <w:tcBorders>
              <w:top w:val="single" w:sz="2" w:space="0" w:color="auto"/>
              <w:left w:val="nil"/>
              <w:bottom w:val="single" w:sz="2" w:space="0" w:color="auto"/>
              <w:right w:val="single" w:sz="6" w:space="0" w:color="auto"/>
            </w:tcBorders>
            <w:vAlign w:val="bottom"/>
          </w:tcPr>
          <w:p w14:paraId="530058C5"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4F5A6FD5"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5B81184B"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028DCDE4"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152052BC"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1412C4E7"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2F188ACA"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5B913C0D"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6DB9A24D"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05944D2D"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25616BB9"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nil"/>
            </w:tcBorders>
            <w:vAlign w:val="bottom"/>
          </w:tcPr>
          <w:p w14:paraId="256E70C6"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737" w:type="dxa"/>
            <w:tcBorders>
              <w:top w:val="single" w:sz="2" w:space="0" w:color="auto"/>
              <w:left w:val="double" w:sz="4" w:space="0" w:color="auto"/>
              <w:bottom w:val="single" w:sz="2" w:space="0" w:color="auto"/>
              <w:right w:val="double" w:sz="6" w:space="0" w:color="auto"/>
            </w:tcBorders>
            <w:vAlign w:val="bottom"/>
          </w:tcPr>
          <w:p w14:paraId="18E92A3C"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r>
      <w:tr w:rsidR="00E732EF" w:rsidRPr="00E732EF" w14:paraId="35FCFDE6" w14:textId="77777777" w:rsidTr="00E732EF">
        <w:trPr>
          <w:trHeight w:val="249"/>
          <w:jc w:val="center"/>
        </w:trPr>
        <w:tc>
          <w:tcPr>
            <w:tcW w:w="1021" w:type="dxa"/>
            <w:tcBorders>
              <w:top w:val="single" w:sz="2" w:space="0" w:color="auto"/>
              <w:left w:val="double" w:sz="6" w:space="0" w:color="auto"/>
              <w:bottom w:val="double" w:sz="6" w:space="0" w:color="auto"/>
              <w:right w:val="double" w:sz="4" w:space="0" w:color="auto"/>
            </w:tcBorders>
            <w:vAlign w:val="center"/>
          </w:tcPr>
          <w:p w14:paraId="32418263"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MAKS</w:t>
            </w:r>
          </w:p>
        </w:tc>
        <w:tc>
          <w:tcPr>
            <w:tcW w:w="624" w:type="dxa"/>
            <w:tcBorders>
              <w:top w:val="single" w:sz="2" w:space="0" w:color="auto"/>
              <w:left w:val="nil"/>
              <w:bottom w:val="double" w:sz="6" w:space="0" w:color="auto"/>
              <w:right w:val="single" w:sz="6" w:space="0" w:color="auto"/>
            </w:tcBorders>
            <w:vAlign w:val="bottom"/>
          </w:tcPr>
          <w:p w14:paraId="1633F13A"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double" w:sz="6" w:space="0" w:color="auto"/>
              <w:right w:val="single" w:sz="6" w:space="0" w:color="auto"/>
            </w:tcBorders>
            <w:vAlign w:val="bottom"/>
          </w:tcPr>
          <w:p w14:paraId="61B9E8B4"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1</w:t>
            </w:r>
          </w:p>
        </w:tc>
        <w:tc>
          <w:tcPr>
            <w:tcW w:w="624" w:type="dxa"/>
            <w:tcBorders>
              <w:top w:val="single" w:sz="2" w:space="0" w:color="auto"/>
              <w:left w:val="single" w:sz="6" w:space="0" w:color="auto"/>
              <w:bottom w:val="double" w:sz="6" w:space="0" w:color="auto"/>
              <w:right w:val="single" w:sz="6" w:space="0" w:color="auto"/>
            </w:tcBorders>
            <w:vAlign w:val="bottom"/>
          </w:tcPr>
          <w:p w14:paraId="342128CB"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1</w:t>
            </w:r>
          </w:p>
        </w:tc>
        <w:tc>
          <w:tcPr>
            <w:tcW w:w="624" w:type="dxa"/>
            <w:tcBorders>
              <w:top w:val="single" w:sz="2" w:space="0" w:color="auto"/>
              <w:left w:val="single" w:sz="6" w:space="0" w:color="auto"/>
              <w:bottom w:val="double" w:sz="6" w:space="0" w:color="auto"/>
              <w:right w:val="single" w:sz="6" w:space="0" w:color="auto"/>
            </w:tcBorders>
            <w:vAlign w:val="bottom"/>
          </w:tcPr>
          <w:p w14:paraId="7726C0B2"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1</w:t>
            </w:r>
          </w:p>
        </w:tc>
        <w:tc>
          <w:tcPr>
            <w:tcW w:w="624" w:type="dxa"/>
            <w:tcBorders>
              <w:top w:val="single" w:sz="2" w:space="0" w:color="auto"/>
              <w:left w:val="single" w:sz="6" w:space="0" w:color="auto"/>
              <w:bottom w:val="double" w:sz="6" w:space="0" w:color="auto"/>
              <w:right w:val="single" w:sz="6" w:space="0" w:color="auto"/>
            </w:tcBorders>
            <w:vAlign w:val="bottom"/>
          </w:tcPr>
          <w:p w14:paraId="24BB5B69"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double" w:sz="6" w:space="0" w:color="auto"/>
              <w:right w:val="single" w:sz="6" w:space="0" w:color="auto"/>
            </w:tcBorders>
            <w:vAlign w:val="bottom"/>
          </w:tcPr>
          <w:p w14:paraId="42AE909A"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double" w:sz="6" w:space="0" w:color="auto"/>
              <w:right w:val="single" w:sz="6" w:space="0" w:color="auto"/>
            </w:tcBorders>
            <w:vAlign w:val="bottom"/>
          </w:tcPr>
          <w:p w14:paraId="3DEE4C65"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double" w:sz="6" w:space="0" w:color="auto"/>
              <w:right w:val="single" w:sz="6" w:space="0" w:color="auto"/>
            </w:tcBorders>
            <w:vAlign w:val="bottom"/>
          </w:tcPr>
          <w:p w14:paraId="79F5A078"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1</w:t>
            </w:r>
          </w:p>
        </w:tc>
        <w:tc>
          <w:tcPr>
            <w:tcW w:w="624" w:type="dxa"/>
            <w:tcBorders>
              <w:top w:val="single" w:sz="2" w:space="0" w:color="auto"/>
              <w:left w:val="single" w:sz="6" w:space="0" w:color="auto"/>
              <w:bottom w:val="double" w:sz="6" w:space="0" w:color="auto"/>
              <w:right w:val="single" w:sz="6" w:space="0" w:color="auto"/>
            </w:tcBorders>
            <w:vAlign w:val="bottom"/>
          </w:tcPr>
          <w:p w14:paraId="5F1A1D5E"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double" w:sz="6" w:space="0" w:color="auto"/>
              <w:right w:val="single" w:sz="6" w:space="0" w:color="auto"/>
            </w:tcBorders>
            <w:vAlign w:val="bottom"/>
          </w:tcPr>
          <w:p w14:paraId="07E59012"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double" w:sz="6" w:space="0" w:color="auto"/>
              <w:right w:val="single" w:sz="6" w:space="0" w:color="auto"/>
            </w:tcBorders>
            <w:vAlign w:val="bottom"/>
          </w:tcPr>
          <w:p w14:paraId="0CD4ABC1"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double" w:sz="6" w:space="0" w:color="auto"/>
              <w:right w:val="nil"/>
            </w:tcBorders>
            <w:vAlign w:val="bottom"/>
          </w:tcPr>
          <w:p w14:paraId="55CDBAD7"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0</w:t>
            </w:r>
          </w:p>
        </w:tc>
        <w:tc>
          <w:tcPr>
            <w:tcW w:w="737" w:type="dxa"/>
            <w:tcBorders>
              <w:top w:val="single" w:sz="2" w:space="0" w:color="auto"/>
              <w:left w:val="double" w:sz="4" w:space="0" w:color="auto"/>
              <w:bottom w:val="double" w:sz="6" w:space="0" w:color="auto"/>
              <w:right w:val="double" w:sz="6" w:space="0" w:color="auto"/>
            </w:tcBorders>
            <w:vAlign w:val="bottom"/>
          </w:tcPr>
          <w:p w14:paraId="5085BEFE" w14:textId="77777777" w:rsidR="00E732EF" w:rsidRPr="00E732EF" w:rsidRDefault="00E732EF" w:rsidP="00E732EF">
            <w:pPr>
              <w:spacing w:after="0" w:line="240" w:lineRule="auto"/>
              <w:jc w:val="center"/>
              <w:rPr>
                <w:rFonts w:ascii="Arial" w:eastAsia="Times New Roman" w:hAnsi="Arial" w:cs="Arial"/>
                <w:noProof/>
                <w:sz w:val="18"/>
                <w:szCs w:val="20"/>
              </w:rPr>
            </w:pPr>
            <w:r w:rsidRPr="00E732EF">
              <w:rPr>
                <w:rFonts w:ascii="Arial" w:eastAsia="Times New Roman" w:hAnsi="Arial" w:cs="Arial"/>
                <w:noProof/>
                <w:sz w:val="18"/>
                <w:szCs w:val="20"/>
              </w:rPr>
              <w:t>2</w:t>
            </w:r>
          </w:p>
        </w:tc>
      </w:tr>
      <w:tr w:rsidR="00E732EF" w:rsidRPr="00E732EF" w14:paraId="6FF19886" w14:textId="77777777" w:rsidTr="00E732EF">
        <w:trPr>
          <w:trHeight w:val="249"/>
          <w:jc w:val="center"/>
        </w:trPr>
        <w:tc>
          <w:tcPr>
            <w:tcW w:w="9246" w:type="dxa"/>
            <w:gridSpan w:val="14"/>
            <w:tcBorders>
              <w:top w:val="double" w:sz="4" w:space="0" w:color="auto"/>
              <w:left w:val="double" w:sz="6" w:space="0" w:color="auto"/>
              <w:bottom w:val="double" w:sz="4" w:space="0" w:color="auto"/>
              <w:right w:val="double" w:sz="6" w:space="0" w:color="auto"/>
            </w:tcBorders>
            <w:shd w:val="clear" w:color="auto" w:fill="DBE5F1"/>
            <w:vAlign w:val="center"/>
          </w:tcPr>
          <w:p w14:paraId="45A54269" w14:textId="77777777" w:rsidR="00E732EF" w:rsidRPr="00E732EF" w:rsidRDefault="00E732EF" w:rsidP="00E732EF">
            <w:pPr>
              <w:spacing w:after="0" w:line="240" w:lineRule="auto"/>
              <w:ind w:right="113"/>
              <w:jc w:val="center"/>
              <w:rPr>
                <w:rFonts w:ascii="Arial" w:eastAsia="Times New Roman" w:hAnsi="Arial" w:cs="Arial"/>
                <w:b/>
                <w:noProof/>
                <w:snapToGrid w:val="0"/>
                <w:color w:val="000000"/>
                <w:sz w:val="18"/>
                <w:szCs w:val="20"/>
              </w:rPr>
            </w:pPr>
            <w:r w:rsidRPr="00E732EF">
              <w:rPr>
                <w:rFonts w:ascii="Arial" w:eastAsia="Times New Roman" w:hAnsi="Arial" w:cs="Arial"/>
                <w:b/>
                <w:noProof/>
                <w:snapToGrid w:val="0"/>
                <w:color w:val="000000"/>
                <w:sz w:val="18"/>
                <w:szCs w:val="20"/>
              </w:rPr>
              <w:t>MAKSIMALNI UDARI VJETRA (m/s)</w:t>
            </w:r>
          </w:p>
        </w:tc>
      </w:tr>
      <w:tr w:rsidR="00E732EF" w:rsidRPr="00E732EF" w14:paraId="3D981145" w14:textId="77777777" w:rsidTr="00E732EF">
        <w:trPr>
          <w:cantSplit/>
          <w:trHeight w:val="249"/>
          <w:jc w:val="center"/>
        </w:trPr>
        <w:tc>
          <w:tcPr>
            <w:tcW w:w="1021" w:type="dxa"/>
            <w:vMerge w:val="restart"/>
            <w:tcBorders>
              <w:top w:val="double" w:sz="4" w:space="0" w:color="auto"/>
              <w:left w:val="double" w:sz="6" w:space="0" w:color="auto"/>
              <w:right w:val="double" w:sz="4" w:space="0" w:color="auto"/>
            </w:tcBorders>
            <w:vAlign w:val="center"/>
          </w:tcPr>
          <w:p w14:paraId="2275397A"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 xml:space="preserve">MAKS* </w:t>
            </w:r>
          </w:p>
          <w:p w14:paraId="062ACD46"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1995-2005</w:t>
            </w:r>
          </w:p>
        </w:tc>
        <w:tc>
          <w:tcPr>
            <w:tcW w:w="624" w:type="dxa"/>
            <w:tcBorders>
              <w:top w:val="double" w:sz="4" w:space="0" w:color="auto"/>
              <w:left w:val="nil"/>
              <w:bottom w:val="single" w:sz="2" w:space="0" w:color="auto"/>
              <w:right w:val="single" w:sz="6" w:space="0" w:color="auto"/>
            </w:tcBorders>
            <w:vAlign w:val="center"/>
          </w:tcPr>
          <w:p w14:paraId="3311A2A3"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22.7</w:t>
            </w:r>
          </w:p>
        </w:tc>
        <w:tc>
          <w:tcPr>
            <w:tcW w:w="624" w:type="dxa"/>
            <w:tcBorders>
              <w:top w:val="double" w:sz="4" w:space="0" w:color="auto"/>
              <w:left w:val="nil"/>
              <w:bottom w:val="single" w:sz="2" w:space="0" w:color="auto"/>
              <w:right w:val="nil"/>
            </w:tcBorders>
            <w:vAlign w:val="center"/>
          </w:tcPr>
          <w:p w14:paraId="4699277F"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22.4</w:t>
            </w:r>
          </w:p>
        </w:tc>
        <w:tc>
          <w:tcPr>
            <w:tcW w:w="624" w:type="dxa"/>
            <w:tcBorders>
              <w:top w:val="double" w:sz="4" w:space="0" w:color="auto"/>
              <w:left w:val="single" w:sz="6" w:space="0" w:color="auto"/>
              <w:bottom w:val="single" w:sz="2" w:space="0" w:color="auto"/>
              <w:right w:val="single" w:sz="6" w:space="0" w:color="auto"/>
            </w:tcBorders>
            <w:vAlign w:val="center"/>
          </w:tcPr>
          <w:p w14:paraId="7C8D1CA2"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24.2</w:t>
            </w:r>
          </w:p>
        </w:tc>
        <w:tc>
          <w:tcPr>
            <w:tcW w:w="624" w:type="dxa"/>
            <w:tcBorders>
              <w:top w:val="double" w:sz="4" w:space="0" w:color="auto"/>
              <w:left w:val="nil"/>
              <w:bottom w:val="single" w:sz="2" w:space="0" w:color="auto"/>
              <w:right w:val="nil"/>
            </w:tcBorders>
            <w:vAlign w:val="center"/>
          </w:tcPr>
          <w:p w14:paraId="4C906976"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30.9</w:t>
            </w:r>
          </w:p>
        </w:tc>
        <w:tc>
          <w:tcPr>
            <w:tcW w:w="624" w:type="dxa"/>
            <w:tcBorders>
              <w:top w:val="double" w:sz="4" w:space="0" w:color="auto"/>
              <w:left w:val="single" w:sz="6" w:space="0" w:color="auto"/>
              <w:bottom w:val="single" w:sz="2" w:space="0" w:color="auto"/>
              <w:right w:val="single" w:sz="6" w:space="0" w:color="auto"/>
            </w:tcBorders>
            <w:vAlign w:val="center"/>
          </w:tcPr>
          <w:p w14:paraId="5B2AC263"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21.5</w:t>
            </w:r>
          </w:p>
        </w:tc>
        <w:tc>
          <w:tcPr>
            <w:tcW w:w="624" w:type="dxa"/>
            <w:tcBorders>
              <w:top w:val="double" w:sz="4" w:space="0" w:color="auto"/>
              <w:left w:val="nil"/>
              <w:bottom w:val="single" w:sz="2" w:space="0" w:color="auto"/>
              <w:right w:val="nil"/>
            </w:tcBorders>
            <w:vAlign w:val="center"/>
          </w:tcPr>
          <w:p w14:paraId="127026BC"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22.8</w:t>
            </w:r>
          </w:p>
        </w:tc>
        <w:tc>
          <w:tcPr>
            <w:tcW w:w="624" w:type="dxa"/>
            <w:tcBorders>
              <w:top w:val="double" w:sz="4" w:space="0" w:color="auto"/>
              <w:left w:val="single" w:sz="6" w:space="0" w:color="auto"/>
              <w:bottom w:val="single" w:sz="2" w:space="0" w:color="auto"/>
              <w:right w:val="single" w:sz="6" w:space="0" w:color="auto"/>
            </w:tcBorders>
            <w:vAlign w:val="center"/>
          </w:tcPr>
          <w:p w14:paraId="738ABACF"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21.7</w:t>
            </w:r>
          </w:p>
        </w:tc>
        <w:tc>
          <w:tcPr>
            <w:tcW w:w="624" w:type="dxa"/>
            <w:tcBorders>
              <w:top w:val="double" w:sz="4" w:space="0" w:color="auto"/>
              <w:left w:val="nil"/>
              <w:bottom w:val="single" w:sz="2" w:space="0" w:color="auto"/>
              <w:right w:val="nil"/>
            </w:tcBorders>
            <w:vAlign w:val="center"/>
          </w:tcPr>
          <w:p w14:paraId="2C2D801A"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20.5</w:t>
            </w:r>
          </w:p>
        </w:tc>
        <w:tc>
          <w:tcPr>
            <w:tcW w:w="624" w:type="dxa"/>
            <w:tcBorders>
              <w:top w:val="double" w:sz="4" w:space="0" w:color="auto"/>
              <w:left w:val="single" w:sz="6" w:space="0" w:color="auto"/>
              <w:bottom w:val="single" w:sz="2" w:space="0" w:color="auto"/>
              <w:right w:val="single" w:sz="6" w:space="0" w:color="auto"/>
            </w:tcBorders>
            <w:vAlign w:val="center"/>
          </w:tcPr>
          <w:p w14:paraId="6898244F"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18.7</w:t>
            </w:r>
          </w:p>
        </w:tc>
        <w:tc>
          <w:tcPr>
            <w:tcW w:w="624" w:type="dxa"/>
            <w:tcBorders>
              <w:top w:val="double" w:sz="4" w:space="0" w:color="auto"/>
              <w:left w:val="nil"/>
              <w:bottom w:val="single" w:sz="2" w:space="0" w:color="auto"/>
              <w:right w:val="nil"/>
            </w:tcBorders>
            <w:vAlign w:val="center"/>
          </w:tcPr>
          <w:p w14:paraId="2FB5D3C0"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29.0</w:t>
            </w:r>
          </w:p>
        </w:tc>
        <w:tc>
          <w:tcPr>
            <w:tcW w:w="624" w:type="dxa"/>
            <w:tcBorders>
              <w:top w:val="double" w:sz="4" w:space="0" w:color="auto"/>
              <w:left w:val="single" w:sz="6" w:space="0" w:color="auto"/>
              <w:bottom w:val="single" w:sz="2" w:space="0" w:color="auto"/>
              <w:right w:val="single" w:sz="6" w:space="0" w:color="auto"/>
            </w:tcBorders>
            <w:vAlign w:val="center"/>
          </w:tcPr>
          <w:p w14:paraId="6D89398D"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28.9</w:t>
            </w:r>
          </w:p>
        </w:tc>
        <w:tc>
          <w:tcPr>
            <w:tcW w:w="624" w:type="dxa"/>
            <w:tcBorders>
              <w:top w:val="double" w:sz="4" w:space="0" w:color="auto"/>
              <w:left w:val="nil"/>
              <w:bottom w:val="single" w:sz="2" w:space="0" w:color="auto"/>
              <w:right w:val="nil"/>
            </w:tcBorders>
            <w:vAlign w:val="center"/>
          </w:tcPr>
          <w:p w14:paraId="4471B708"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18.8</w:t>
            </w:r>
          </w:p>
        </w:tc>
        <w:tc>
          <w:tcPr>
            <w:tcW w:w="737" w:type="dxa"/>
            <w:tcBorders>
              <w:top w:val="double" w:sz="4" w:space="0" w:color="auto"/>
              <w:left w:val="double" w:sz="4" w:space="0" w:color="auto"/>
              <w:bottom w:val="single" w:sz="2" w:space="0" w:color="auto"/>
              <w:right w:val="double" w:sz="6" w:space="0" w:color="auto"/>
            </w:tcBorders>
            <w:vAlign w:val="center"/>
          </w:tcPr>
          <w:p w14:paraId="59877B75"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30.9</w:t>
            </w:r>
          </w:p>
        </w:tc>
      </w:tr>
      <w:tr w:rsidR="00E732EF" w:rsidRPr="00E732EF" w14:paraId="6E4789B6" w14:textId="77777777" w:rsidTr="00E732EF">
        <w:trPr>
          <w:cantSplit/>
          <w:trHeight w:val="249"/>
          <w:jc w:val="center"/>
        </w:trPr>
        <w:tc>
          <w:tcPr>
            <w:tcW w:w="1021" w:type="dxa"/>
            <w:vMerge/>
            <w:tcBorders>
              <w:left w:val="double" w:sz="6" w:space="0" w:color="auto"/>
              <w:bottom w:val="double" w:sz="6" w:space="0" w:color="auto"/>
              <w:right w:val="double" w:sz="4" w:space="0" w:color="auto"/>
            </w:tcBorders>
            <w:vAlign w:val="center"/>
          </w:tcPr>
          <w:p w14:paraId="0DDB4EC6" w14:textId="77777777" w:rsidR="00E732EF" w:rsidRPr="00E732EF" w:rsidRDefault="00E732EF" w:rsidP="00E732EF">
            <w:pPr>
              <w:spacing w:after="0" w:line="240" w:lineRule="auto"/>
              <w:jc w:val="center"/>
              <w:rPr>
                <w:rFonts w:ascii="Arial" w:eastAsia="Times New Roman" w:hAnsi="Arial" w:cs="Arial"/>
                <w:b/>
                <w:noProof/>
                <w:sz w:val="18"/>
                <w:szCs w:val="20"/>
              </w:rPr>
            </w:pPr>
          </w:p>
        </w:tc>
        <w:tc>
          <w:tcPr>
            <w:tcW w:w="624" w:type="dxa"/>
            <w:tcBorders>
              <w:top w:val="single" w:sz="2" w:space="0" w:color="auto"/>
              <w:left w:val="nil"/>
              <w:bottom w:val="double" w:sz="6" w:space="0" w:color="auto"/>
              <w:right w:val="single" w:sz="6" w:space="0" w:color="auto"/>
            </w:tcBorders>
            <w:vAlign w:val="center"/>
          </w:tcPr>
          <w:p w14:paraId="3169B914"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ENE</w:t>
            </w:r>
          </w:p>
        </w:tc>
        <w:tc>
          <w:tcPr>
            <w:tcW w:w="624" w:type="dxa"/>
            <w:tcBorders>
              <w:top w:val="single" w:sz="2" w:space="0" w:color="auto"/>
              <w:left w:val="nil"/>
              <w:bottom w:val="double" w:sz="6" w:space="0" w:color="auto"/>
              <w:right w:val="nil"/>
            </w:tcBorders>
            <w:vAlign w:val="center"/>
          </w:tcPr>
          <w:p w14:paraId="3FEE021E"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W</w:t>
            </w:r>
          </w:p>
        </w:tc>
        <w:tc>
          <w:tcPr>
            <w:tcW w:w="624" w:type="dxa"/>
            <w:tcBorders>
              <w:top w:val="single" w:sz="2" w:space="0" w:color="auto"/>
              <w:left w:val="single" w:sz="6" w:space="0" w:color="auto"/>
              <w:bottom w:val="double" w:sz="6" w:space="0" w:color="auto"/>
              <w:right w:val="single" w:sz="6" w:space="0" w:color="auto"/>
            </w:tcBorders>
            <w:vAlign w:val="center"/>
          </w:tcPr>
          <w:p w14:paraId="28D4082D"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N</w:t>
            </w:r>
          </w:p>
        </w:tc>
        <w:tc>
          <w:tcPr>
            <w:tcW w:w="624" w:type="dxa"/>
            <w:tcBorders>
              <w:top w:val="single" w:sz="2" w:space="0" w:color="auto"/>
              <w:left w:val="nil"/>
              <w:bottom w:val="double" w:sz="6" w:space="0" w:color="auto"/>
              <w:right w:val="nil"/>
            </w:tcBorders>
            <w:vAlign w:val="center"/>
          </w:tcPr>
          <w:p w14:paraId="694A6091"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NW</w:t>
            </w:r>
          </w:p>
        </w:tc>
        <w:tc>
          <w:tcPr>
            <w:tcW w:w="624" w:type="dxa"/>
            <w:tcBorders>
              <w:top w:val="single" w:sz="2" w:space="0" w:color="auto"/>
              <w:left w:val="single" w:sz="6" w:space="0" w:color="auto"/>
              <w:bottom w:val="double" w:sz="6" w:space="0" w:color="auto"/>
              <w:right w:val="single" w:sz="6" w:space="0" w:color="auto"/>
            </w:tcBorders>
            <w:vAlign w:val="center"/>
          </w:tcPr>
          <w:p w14:paraId="656779AF"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ENE</w:t>
            </w:r>
          </w:p>
        </w:tc>
        <w:tc>
          <w:tcPr>
            <w:tcW w:w="624" w:type="dxa"/>
            <w:tcBorders>
              <w:top w:val="single" w:sz="2" w:space="0" w:color="auto"/>
              <w:left w:val="nil"/>
              <w:bottom w:val="double" w:sz="6" w:space="0" w:color="auto"/>
              <w:right w:val="nil"/>
            </w:tcBorders>
            <w:vAlign w:val="center"/>
          </w:tcPr>
          <w:p w14:paraId="4DB414B3"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NW</w:t>
            </w:r>
          </w:p>
        </w:tc>
        <w:tc>
          <w:tcPr>
            <w:tcW w:w="624" w:type="dxa"/>
            <w:tcBorders>
              <w:top w:val="single" w:sz="2" w:space="0" w:color="auto"/>
              <w:left w:val="single" w:sz="6" w:space="0" w:color="auto"/>
              <w:bottom w:val="double" w:sz="6" w:space="0" w:color="auto"/>
              <w:right w:val="single" w:sz="6" w:space="0" w:color="auto"/>
            </w:tcBorders>
            <w:vAlign w:val="center"/>
          </w:tcPr>
          <w:p w14:paraId="108B06F9"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NW</w:t>
            </w:r>
          </w:p>
        </w:tc>
        <w:tc>
          <w:tcPr>
            <w:tcW w:w="624" w:type="dxa"/>
            <w:tcBorders>
              <w:top w:val="single" w:sz="2" w:space="0" w:color="auto"/>
              <w:left w:val="nil"/>
              <w:bottom w:val="double" w:sz="6" w:space="0" w:color="auto"/>
              <w:right w:val="nil"/>
            </w:tcBorders>
            <w:vAlign w:val="center"/>
          </w:tcPr>
          <w:p w14:paraId="4097402B"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N</w:t>
            </w:r>
          </w:p>
        </w:tc>
        <w:tc>
          <w:tcPr>
            <w:tcW w:w="624" w:type="dxa"/>
            <w:tcBorders>
              <w:top w:val="single" w:sz="2" w:space="0" w:color="auto"/>
              <w:left w:val="single" w:sz="6" w:space="0" w:color="auto"/>
              <w:bottom w:val="double" w:sz="6" w:space="0" w:color="auto"/>
              <w:right w:val="single" w:sz="6" w:space="0" w:color="auto"/>
            </w:tcBorders>
            <w:vAlign w:val="center"/>
          </w:tcPr>
          <w:p w14:paraId="058596EE"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N</w:t>
            </w:r>
          </w:p>
        </w:tc>
        <w:tc>
          <w:tcPr>
            <w:tcW w:w="624" w:type="dxa"/>
            <w:tcBorders>
              <w:top w:val="single" w:sz="2" w:space="0" w:color="auto"/>
              <w:left w:val="nil"/>
              <w:bottom w:val="double" w:sz="6" w:space="0" w:color="auto"/>
              <w:right w:val="nil"/>
            </w:tcBorders>
            <w:vAlign w:val="center"/>
          </w:tcPr>
          <w:p w14:paraId="70FBCBC0"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WNW</w:t>
            </w:r>
          </w:p>
        </w:tc>
        <w:tc>
          <w:tcPr>
            <w:tcW w:w="624" w:type="dxa"/>
            <w:tcBorders>
              <w:top w:val="single" w:sz="2" w:space="0" w:color="auto"/>
              <w:left w:val="single" w:sz="6" w:space="0" w:color="auto"/>
              <w:bottom w:val="double" w:sz="6" w:space="0" w:color="auto"/>
              <w:right w:val="single" w:sz="6" w:space="0" w:color="auto"/>
            </w:tcBorders>
            <w:vAlign w:val="center"/>
          </w:tcPr>
          <w:p w14:paraId="06C473CC"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NW</w:t>
            </w:r>
          </w:p>
        </w:tc>
        <w:tc>
          <w:tcPr>
            <w:tcW w:w="624" w:type="dxa"/>
            <w:tcBorders>
              <w:top w:val="single" w:sz="2" w:space="0" w:color="auto"/>
              <w:left w:val="nil"/>
              <w:bottom w:val="double" w:sz="6" w:space="0" w:color="auto"/>
              <w:right w:val="nil"/>
            </w:tcBorders>
            <w:vAlign w:val="center"/>
          </w:tcPr>
          <w:p w14:paraId="399B1414"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NNE</w:t>
            </w:r>
          </w:p>
        </w:tc>
        <w:tc>
          <w:tcPr>
            <w:tcW w:w="737" w:type="dxa"/>
            <w:tcBorders>
              <w:top w:val="single" w:sz="2" w:space="0" w:color="auto"/>
              <w:left w:val="double" w:sz="4" w:space="0" w:color="auto"/>
              <w:bottom w:val="double" w:sz="6" w:space="0" w:color="auto"/>
              <w:right w:val="double" w:sz="6" w:space="0" w:color="auto"/>
            </w:tcBorders>
            <w:vAlign w:val="center"/>
          </w:tcPr>
          <w:p w14:paraId="0D5E1B3C"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NW</w:t>
            </w:r>
          </w:p>
        </w:tc>
      </w:tr>
    </w:tbl>
    <w:p w14:paraId="497AFECE" w14:textId="77777777" w:rsidR="00E732EF" w:rsidRPr="00E732EF" w:rsidRDefault="00E732EF" w:rsidP="00E732EF">
      <w:pPr>
        <w:spacing w:after="0" w:line="240" w:lineRule="auto"/>
        <w:rPr>
          <w:rFonts w:ascii="Calibri" w:eastAsia="Calibri" w:hAnsi="Calibri" w:cs="Times New Roman"/>
        </w:rPr>
      </w:pPr>
    </w:p>
    <w:p w14:paraId="0E8E1010" w14:textId="77777777" w:rsidR="00E732EF" w:rsidRPr="00E732EF" w:rsidRDefault="00E732EF" w:rsidP="00E732EF">
      <w:pPr>
        <w:rPr>
          <w:rFonts w:ascii="Times New Roman" w:eastAsia="Calibri" w:hAnsi="Times New Roman" w:cs="Times New Roman"/>
          <w:i/>
          <w:iCs/>
        </w:rPr>
      </w:pPr>
      <w:r w:rsidRPr="00E732EF">
        <w:rPr>
          <w:rFonts w:ascii="Times New Roman" w:eastAsia="Calibri" w:hAnsi="Times New Roman" w:cs="Times New Roman"/>
          <w:i/>
          <w:iCs/>
        </w:rPr>
        <w:lastRenderedPageBreak/>
        <w:t xml:space="preserve">Preventivne mjere radi umanjenja posljedica prirodne nepogode  </w:t>
      </w:r>
    </w:p>
    <w:p w14:paraId="7B0AE683"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 xml:space="preserve">Kod planiranja i gradnje prometnica valja voditi računa o vjetru i pojavi ekstremnih zračnih turbulencija. Na prometnicama tj. na mjestima gdje vjetar ima jače olujne udare trebaju postavljati posebni zaštitni sistemi, tzv. vjetrobrani i posebni znakovi upozorenja. </w:t>
      </w:r>
    </w:p>
    <w:p w14:paraId="6C3A3256" w14:textId="77777777" w:rsidR="00E732EF" w:rsidRPr="00E732EF" w:rsidRDefault="00E732EF" w:rsidP="00E732EF">
      <w:pPr>
        <w:rPr>
          <w:rFonts w:ascii="Times New Roman" w:eastAsia="Calibri" w:hAnsi="Times New Roman" w:cs="Times New Roman"/>
          <w:i/>
          <w:iCs/>
        </w:rPr>
      </w:pPr>
      <w:r w:rsidRPr="00E732EF">
        <w:rPr>
          <w:rFonts w:ascii="Times New Roman" w:eastAsia="Calibri" w:hAnsi="Times New Roman" w:cs="Times New Roman"/>
          <w:i/>
          <w:iCs/>
        </w:rPr>
        <w:t xml:space="preserve"> Mjere za ublažavanje i otklanjanje izravnih posljedica prirodne nepogode </w:t>
      </w:r>
    </w:p>
    <w:p w14:paraId="0FAA0C19"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 xml:space="preserve">Mjere za ublažavanje i otklanjanje izravnih posljedica prirodne nepogode podrazumijevaju procjenu šteta i posljedica; sanaciju nastalih oštećenja i šteta. Sanacija obuhvaća aktivnosti kojima se otklanjaju posljedice prirodne nepogode, pružanje prve pomoći unesrećenima ukoliko ih je bilo te sve ostale radnje kojima se smanjuju posljedice olujnog i orkanskog nevremena. </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005"/>
        <w:gridCol w:w="8010"/>
      </w:tblGrid>
      <w:tr w:rsidR="00E732EF" w:rsidRPr="00E732EF" w14:paraId="1EDF5512" w14:textId="77777777" w:rsidTr="00E732EF">
        <w:trPr>
          <w:trHeight w:val="25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099EE27E" w14:textId="77777777" w:rsidR="00E732EF" w:rsidRPr="00E732EF" w:rsidRDefault="00E732EF" w:rsidP="00E732EF">
            <w:pPr>
              <w:ind w:left="-23"/>
              <w:jc w:val="center"/>
              <w:rPr>
                <w:rFonts w:ascii="Times New Roman" w:eastAsia="Calibri" w:hAnsi="Times New Roman" w:cs="Times New Roman"/>
                <w:b/>
                <w:bCs/>
              </w:rPr>
            </w:pPr>
            <w:r w:rsidRPr="00E732EF">
              <w:rPr>
                <w:rFonts w:ascii="Times New Roman" w:eastAsia="Calibri" w:hAnsi="Times New Roman" w:cs="Times New Roman"/>
                <w:b/>
                <w:bCs/>
              </w:rPr>
              <w:t>R/br.</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2F63B339" w14:textId="77777777" w:rsidR="00E732EF" w:rsidRPr="00E732EF" w:rsidRDefault="00E732EF" w:rsidP="00E732EF">
            <w:pPr>
              <w:ind w:left="-23"/>
              <w:jc w:val="center"/>
              <w:rPr>
                <w:rFonts w:ascii="Times New Roman" w:eastAsia="Calibri" w:hAnsi="Times New Roman" w:cs="Times New Roman"/>
                <w:b/>
                <w:bCs/>
              </w:rPr>
            </w:pPr>
            <w:r w:rsidRPr="00E732EF">
              <w:rPr>
                <w:rFonts w:ascii="Times New Roman" w:eastAsia="Calibri" w:hAnsi="Times New Roman" w:cs="Times New Roman"/>
                <w:b/>
                <w:bCs/>
              </w:rPr>
              <w:t>MJERE – radnje i postupci</w:t>
            </w:r>
          </w:p>
        </w:tc>
      </w:tr>
      <w:tr w:rsidR="00E732EF" w:rsidRPr="00E732EF" w14:paraId="5385B894" w14:textId="77777777" w:rsidTr="00E732EF">
        <w:trPr>
          <w:trHeight w:val="42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78CF5253"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1.</w:t>
            </w:r>
          </w:p>
        </w:tc>
        <w:tc>
          <w:tcPr>
            <w:tcW w:w="8010" w:type="dxa"/>
            <w:tcBorders>
              <w:top w:val="single" w:sz="4" w:space="0" w:color="BFBFBF"/>
              <w:left w:val="single" w:sz="4" w:space="0" w:color="BFBFBF"/>
              <w:bottom w:val="single" w:sz="4" w:space="0" w:color="BFBFBF"/>
              <w:right w:val="single" w:sz="4" w:space="0" w:color="BFBFBF"/>
            </w:tcBorders>
            <w:hideMark/>
          </w:tcPr>
          <w:p w14:paraId="44964299"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Izvještavanje župana Međimurske županije i predlaganje aktiviranja Povjerenstva za procjenu štete od elementarnih nepogoda na ugroženim područjima.</w:t>
            </w:r>
          </w:p>
        </w:tc>
      </w:tr>
      <w:tr w:rsidR="00E732EF" w:rsidRPr="00E732EF" w14:paraId="6DBD6AC8" w14:textId="77777777" w:rsidTr="00E732EF">
        <w:trPr>
          <w:trHeight w:val="37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4C06ED2B"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2.</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40C55793"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Povjerenstvo nastavlja aktivnosti na popisu i procjeni štete sukladno Zakona o ublažavanju i uklanjanju posljedica prirodnih nepogoda (NN 16/19) i Pravilniku o registru šteta od prirodnih nepogoda (NN 65/19)</w:t>
            </w:r>
          </w:p>
        </w:tc>
      </w:tr>
      <w:tr w:rsidR="00E732EF" w:rsidRPr="00E732EF" w14:paraId="5298F970" w14:textId="77777777" w:rsidTr="00E732EF">
        <w:trPr>
          <w:trHeight w:val="31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16B66655"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3.</w:t>
            </w:r>
          </w:p>
        </w:tc>
        <w:tc>
          <w:tcPr>
            <w:tcW w:w="8010" w:type="dxa"/>
            <w:tcBorders>
              <w:top w:val="single" w:sz="4" w:space="0" w:color="BFBFBF"/>
              <w:left w:val="single" w:sz="4" w:space="0" w:color="BFBFBF"/>
              <w:bottom w:val="single" w:sz="4" w:space="0" w:color="BFBFBF"/>
              <w:right w:val="single" w:sz="4" w:space="0" w:color="BFBFBF"/>
            </w:tcBorders>
            <w:hideMark/>
          </w:tcPr>
          <w:p w14:paraId="6E807F1A"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Aktiviranje Stožera CZ Općine Sveti Juraj na Bregu – po procjeni općinskog načelnika</w:t>
            </w:r>
          </w:p>
        </w:tc>
      </w:tr>
      <w:tr w:rsidR="00E732EF" w:rsidRPr="00E732EF" w14:paraId="4D3A7DAE" w14:textId="77777777" w:rsidTr="00E732EF">
        <w:trPr>
          <w:trHeight w:val="37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51A6143B"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4.</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6B62ED67"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Prikupljanje informacija o naseljima u kojima su se dogodile najveće materijalne štete</w:t>
            </w:r>
          </w:p>
        </w:tc>
      </w:tr>
      <w:tr w:rsidR="00E732EF" w:rsidRPr="00E732EF" w14:paraId="5041E33B" w14:textId="77777777" w:rsidTr="00E732EF">
        <w:trPr>
          <w:trHeight w:val="28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57F46064"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5.</w:t>
            </w:r>
          </w:p>
        </w:tc>
        <w:tc>
          <w:tcPr>
            <w:tcW w:w="8010" w:type="dxa"/>
            <w:tcBorders>
              <w:top w:val="single" w:sz="4" w:space="0" w:color="BFBFBF"/>
              <w:left w:val="single" w:sz="4" w:space="0" w:color="BFBFBF"/>
              <w:bottom w:val="single" w:sz="4" w:space="0" w:color="BFBFBF"/>
              <w:right w:val="single" w:sz="4" w:space="0" w:color="BFBFBF"/>
            </w:tcBorders>
            <w:hideMark/>
          </w:tcPr>
          <w:p w14:paraId="5522B08C"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Utvrđivanje o funkcioniranju: sustava za elektroopskrbu, sustava telekomunikacija,</w:t>
            </w:r>
          </w:p>
          <w:p w14:paraId="2EDBCAFE"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Prikupljanje  informacija o prohodnosti prometnica,</w:t>
            </w:r>
          </w:p>
          <w:p w14:paraId="41074DD6"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Prikupljanje informacija o stanju društvenih i stambenih objekata na prostoru.</w:t>
            </w:r>
          </w:p>
        </w:tc>
      </w:tr>
      <w:tr w:rsidR="00E732EF" w:rsidRPr="00E732EF" w14:paraId="097C76DD" w14:textId="77777777" w:rsidTr="00E732EF">
        <w:trPr>
          <w:trHeight w:val="36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0AB73C22"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6.</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328A94D5"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Aktiviranje VZ Općine i komunalnih društava te drugih žurnih službi i operativnih snaga</w:t>
            </w:r>
          </w:p>
        </w:tc>
      </w:tr>
      <w:tr w:rsidR="00E732EF" w:rsidRPr="00E732EF" w14:paraId="61EEE804" w14:textId="77777777" w:rsidTr="00E732EF">
        <w:trPr>
          <w:trHeight w:val="25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06E8BAB4"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7.</w:t>
            </w:r>
          </w:p>
        </w:tc>
        <w:tc>
          <w:tcPr>
            <w:tcW w:w="8010" w:type="dxa"/>
            <w:tcBorders>
              <w:top w:val="single" w:sz="4" w:space="0" w:color="BFBFBF"/>
              <w:left w:val="single" w:sz="4" w:space="0" w:color="BFBFBF"/>
              <w:bottom w:val="single" w:sz="4" w:space="0" w:color="BFBFBF"/>
              <w:right w:val="single" w:sz="4" w:space="0" w:color="BFBFBF"/>
            </w:tcBorders>
            <w:hideMark/>
          </w:tcPr>
          <w:p w14:paraId="294F4AA2"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Utvrđivanje redoslijeda u smislu stavljanja u potpunu funkciju telekomunikacija i  opskrbu električnom energijom po prioritetima</w:t>
            </w:r>
          </w:p>
        </w:tc>
      </w:tr>
      <w:tr w:rsidR="00E732EF" w:rsidRPr="00E732EF" w14:paraId="67B608DF" w14:textId="77777777" w:rsidTr="00E732EF">
        <w:trPr>
          <w:trHeight w:val="18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2547C004"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8.</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4C9E15C5"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Utvrđivanje redoslijeda u smislu stavljanja u potpunu funkciju prometnica na području sljedećim prioritetom: 1.  Županijske ceste  2. Lokalne ceste</w:t>
            </w:r>
          </w:p>
        </w:tc>
      </w:tr>
      <w:tr w:rsidR="00E732EF" w:rsidRPr="00E732EF" w14:paraId="3773E48B" w14:textId="77777777" w:rsidTr="00E732EF">
        <w:trPr>
          <w:trHeight w:val="30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4D7F38D7"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9.</w:t>
            </w:r>
          </w:p>
        </w:tc>
        <w:tc>
          <w:tcPr>
            <w:tcW w:w="8010" w:type="dxa"/>
            <w:tcBorders>
              <w:top w:val="single" w:sz="4" w:space="0" w:color="BFBFBF"/>
              <w:left w:val="single" w:sz="4" w:space="0" w:color="BFBFBF"/>
              <w:bottom w:val="single" w:sz="4" w:space="0" w:color="BFBFBF"/>
              <w:right w:val="single" w:sz="4" w:space="0" w:color="BFBFBF"/>
            </w:tcBorders>
            <w:hideMark/>
          </w:tcPr>
          <w:p w14:paraId="24B4642D"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Utvrđivanje redoslijeda u smislu privremene  sanacije oštećenja slijedećih  objekata: 1. zdravstvene ustanove 2. škola 3. zgrada opć. uprave 4. trgovine 5. vatrogasni i društveni domovi 6. privatni objekti prema stupnju oštećenja</w:t>
            </w:r>
          </w:p>
        </w:tc>
      </w:tr>
      <w:tr w:rsidR="00E732EF" w:rsidRPr="00E732EF" w14:paraId="171E63EF" w14:textId="77777777" w:rsidTr="00E732EF">
        <w:trPr>
          <w:trHeight w:val="176"/>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74138C4C"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10.</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2CFA3DB7"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Pozivanje vlasnika poduzeća i službi koji se bave takvom vrstom djelatnosti koja može izvršiti privremenu sanaciju štete, odnosna pravnih osoba određenih Odlukom Općine od značaja za sustav CZ</w:t>
            </w:r>
          </w:p>
        </w:tc>
      </w:tr>
      <w:tr w:rsidR="00E732EF" w:rsidRPr="00E732EF" w14:paraId="3403D962" w14:textId="77777777" w:rsidTr="00E732EF">
        <w:trPr>
          <w:trHeight w:val="206"/>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03EC821F"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11.</w:t>
            </w:r>
          </w:p>
        </w:tc>
        <w:tc>
          <w:tcPr>
            <w:tcW w:w="8010" w:type="dxa"/>
            <w:tcBorders>
              <w:top w:val="single" w:sz="4" w:space="0" w:color="BFBFBF"/>
              <w:left w:val="single" w:sz="4" w:space="0" w:color="BFBFBF"/>
              <w:bottom w:val="single" w:sz="4" w:space="0" w:color="BFBFBF"/>
              <w:right w:val="single" w:sz="4" w:space="0" w:color="BFBFBF"/>
            </w:tcBorders>
            <w:hideMark/>
          </w:tcPr>
          <w:p w14:paraId="23489EE1"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Povjerenstvo Općine nastavlja aktivnosti na popisu i procjeni štete sukladno Zakonu te o rezultatima izvješćuje Međimurska županija.</w:t>
            </w:r>
          </w:p>
        </w:tc>
      </w:tr>
    </w:tbl>
    <w:p w14:paraId="12B74E8F" w14:textId="77777777" w:rsidR="00E732EF" w:rsidRPr="00E732EF" w:rsidRDefault="00E732EF" w:rsidP="00E732EF">
      <w:pPr>
        <w:rPr>
          <w:rFonts w:ascii="Times New Roman" w:eastAsia="Calibri" w:hAnsi="Times New Roman" w:cs="Times New Roman"/>
        </w:rPr>
      </w:pPr>
    </w:p>
    <w:p w14:paraId="1D4D8224"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2.1.3. </w:t>
      </w:r>
      <w:r w:rsidRPr="00E732EF">
        <w:rPr>
          <w:rFonts w:ascii="Times New Roman" w:eastAsia="Calibri" w:hAnsi="Times New Roman" w:cs="Times New Roman"/>
          <w:b/>
          <w:bCs/>
        </w:rPr>
        <w:t>SNJEŽNE OBORINE</w:t>
      </w:r>
      <w:r w:rsidRPr="00E732EF">
        <w:rPr>
          <w:rFonts w:ascii="Times New Roman" w:eastAsia="Calibri" w:hAnsi="Times New Roman" w:cs="Times New Roman"/>
        </w:rPr>
        <w:t xml:space="preserve"> </w:t>
      </w:r>
    </w:p>
    <w:p w14:paraId="41866FC7" w14:textId="77777777" w:rsidR="00E732EF" w:rsidRPr="00E732EF" w:rsidRDefault="00E732EF" w:rsidP="00E732EF">
      <w:pPr>
        <w:spacing w:after="0" w:line="240" w:lineRule="auto"/>
        <w:jc w:val="both"/>
        <w:rPr>
          <w:rFonts w:ascii="Times New Roman" w:eastAsia="Calibri" w:hAnsi="Times New Roman" w:cs="Times New Roman"/>
          <w:noProof/>
          <w:color w:val="000000"/>
        </w:rPr>
      </w:pPr>
      <w:r w:rsidRPr="00E732EF">
        <w:rPr>
          <w:rFonts w:ascii="Times New Roman" w:eastAsia="Calibri" w:hAnsi="Times New Roman" w:cs="Times New Roman"/>
          <w:noProof/>
        </w:rPr>
        <w:t xml:space="preserve">Snijeg može predstavljati ozbiljnu poteškoću za normalno odvijanje svakodnevnih aktivnosti kao što je npr. cestovni promet ili može predstavljati opterećenje na građevinskoj infrastrukturi (dalekovodi, zgrade i dr.). Za prvu ocjenu ugroženosti od snijega analizira se učestalost padanja snijega, maksimalna visina novog snijega, maksimalna visina snježnog pokrivača po mjesecima, te procjena očekivane godišnje maksimalne visine </w:t>
      </w:r>
      <w:r w:rsidRPr="00E732EF">
        <w:rPr>
          <w:rFonts w:ascii="Times New Roman" w:eastAsia="Calibri" w:hAnsi="Times New Roman" w:cs="Times New Roman"/>
          <w:noProof/>
          <w:color w:val="000000"/>
        </w:rPr>
        <w:t xml:space="preserve">snježnog pokrivača za povratni period od 50 godina. </w:t>
      </w:r>
    </w:p>
    <w:p w14:paraId="5D7AF0D2" w14:textId="77777777" w:rsidR="00E732EF" w:rsidRPr="00E732EF" w:rsidRDefault="00E732EF" w:rsidP="00E732EF">
      <w:pPr>
        <w:spacing w:after="0" w:line="240" w:lineRule="auto"/>
        <w:jc w:val="both"/>
        <w:rPr>
          <w:rFonts w:ascii="Times New Roman" w:eastAsia="Calibri" w:hAnsi="Times New Roman" w:cs="Times New Roman"/>
          <w:noProof/>
          <w:color w:val="000000"/>
        </w:rPr>
      </w:pPr>
      <w:r w:rsidRPr="00E732EF">
        <w:rPr>
          <w:rFonts w:ascii="Times New Roman" w:eastAsia="Calibri" w:hAnsi="Times New Roman" w:cs="Times New Roman"/>
          <w:noProof/>
          <w:color w:val="000000"/>
        </w:rPr>
        <w:t xml:space="preserve">Za prikaz godišnjeg hoda navedenih parametara snijega na području Općine Sveti Juraj na Bregu i Međimurske županije koriste se podaci s klimatološke </w:t>
      </w:r>
      <w:r w:rsidRPr="00E732EF">
        <w:rPr>
          <w:rFonts w:ascii="Times New Roman" w:eastAsia="Calibri" w:hAnsi="Times New Roman" w:cs="Times New Roman"/>
          <w:noProof/>
        </w:rPr>
        <w:t xml:space="preserve">postaje Čakovec za razdoblje </w:t>
      </w:r>
      <w:r w:rsidRPr="00E732EF">
        <w:rPr>
          <w:rFonts w:ascii="Times New Roman" w:eastAsia="Calibri" w:hAnsi="Times New Roman" w:cs="Times New Roman"/>
          <w:noProof/>
          <w:color w:val="000000"/>
        </w:rPr>
        <w:t xml:space="preserve">1981-2000. U tablici su prikazani srednji mjesečni i godišnji broj dana s padanjem snijega, standardna devijacija kao mjera odstupanja od srednjaka u vremenu te najveći i najmanji broj dana s padanjem snijega koji je zabilježen u višegodišnjem razdoblju. Slijede podaci o najvećoj visini novog snijega i najvećoj visini </w:t>
      </w:r>
      <w:r w:rsidRPr="00E732EF">
        <w:rPr>
          <w:rFonts w:ascii="Times New Roman" w:eastAsia="Calibri" w:hAnsi="Times New Roman" w:cs="Times New Roman"/>
          <w:noProof/>
          <w:color w:val="000000"/>
        </w:rPr>
        <w:lastRenderedPageBreak/>
        <w:t>snježnog pokrivača izmjereni u pojedinom mjesecu u istom višegodišnjem razdoblju, te procjena maksimalne visine snježnog pokrivača, koji se može očekivati u prosjeku jednom u 50 godina (prema nizu 1961-1990.).</w:t>
      </w:r>
    </w:p>
    <w:p w14:paraId="507585B9"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Na području Svetog Jurja na Bregu padanje snijega može se očekivat</w:t>
      </w:r>
      <w:r w:rsidR="00235E05">
        <w:rPr>
          <w:rFonts w:ascii="Times New Roman" w:eastAsia="Calibri" w:hAnsi="Times New Roman" w:cs="Times New Roman"/>
          <w:noProof/>
        </w:rPr>
        <w:t xml:space="preserve">i svake godine. Promatranih </w:t>
      </w:r>
      <w:r w:rsidRPr="00E732EF">
        <w:rPr>
          <w:rFonts w:ascii="Times New Roman" w:eastAsia="Calibri" w:hAnsi="Times New Roman" w:cs="Times New Roman"/>
          <w:noProof/>
        </w:rPr>
        <w:t xml:space="preserve"> godina najviše snježnih dana i to 39 dana bilo je tijekom zime 1995/1996., a najmanje, 2 dana, zimi 1989/1990. U prosjeku godišnje se može očekivati oko 17 dana s padanjem snijega i to u razdoblju od listopada do travnja. Od prosinca do ožujka javlja se gotovo svake godine, u 20 godina izostao je samo u 3 zime i prosječno pada 2 do 5 dana u pojedinom mjesecu. Od prosinca do veljače najdulje je padao 10-11 dana mjesečno. U listopadu se javio samo jednom u 20 godina i nije se zadržao na tlu. U studenom je rjeđa pojava, u prosjeku se javlja svake druge godine i prosječno pada 2 dana. No, 1993. je padao 9 dana. S pojavom snijega u travnju treba računati, iako snježna zima češće završi s ožujkom. </w:t>
      </w:r>
    </w:p>
    <w:p w14:paraId="4797F774"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 xml:space="preserve">Maksimalna visina novog snijega izmjerena je u veljači 1999. (35 cm), a novi snijeg viši od 30 cm zabilježen je i u studenom (33 cm) i prosincu (30 cm) i to 1993. </w:t>
      </w:r>
    </w:p>
    <w:p w14:paraId="2BFCF08A"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Maksimalne visine snježnog pokrivača tijekom zime javljaju se najčešće u veljači (8 puta u 20 godina), i podjednako često od studenog do siječnja (3 puta u 20 godina u svakom mjesecu). Od studenog do ožujka izmjerene su maksimalne visine snježnog pokrivača iznad 50 cm (osim siječnja). Najviši snježni pokrivač od 57 cm izmjeren je u studenom 1993. Maksimum za prosinac zabilježen je iste godine (1993.) i iznosio je 55 cm. Ista najveća visina snježnog pokrivača izmjerena je i u veljači. Prema procjeni ekstremnih vrijednosti, jednom u 50 godina može se očekivati snježni pokrivač od 65 cm, odnosno s vjerojatnošću 98% da neće biti premašen.</w:t>
      </w:r>
    </w:p>
    <w:p w14:paraId="21A497FB" w14:textId="77777777" w:rsidR="00E732EF" w:rsidRPr="00E732EF" w:rsidRDefault="00E732EF" w:rsidP="00E732EF">
      <w:pPr>
        <w:spacing w:after="0" w:line="240" w:lineRule="auto"/>
        <w:jc w:val="both"/>
        <w:rPr>
          <w:rFonts w:ascii="Times New Roman" w:eastAsia="Calibri" w:hAnsi="Times New Roman" w:cs="Times New Roman"/>
          <w:noProof/>
        </w:rPr>
      </w:pPr>
    </w:p>
    <w:p w14:paraId="4267345A"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Tablica 3: Godišnjih hod odabranog meteorološkog parametra (Sv.Juraj na Bregu), 1995.-2005.godine</w:t>
      </w:r>
    </w:p>
    <w:tbl>
      <w:tblPr>
        <w:tblW w:w="9246" w:type="dxa"/>
        <w:jc w:val="center"/>
        <w:tblBorders>
          <w:top w:val="single" w:sz="18" w:space="0" w:color="auto"/>
          <w:left w:val="single" w:sz="18" w:space="0" w:color="auto"/>
          <w:bottom w:val="single" w:sz="18" w:space="0" w:color="auto"/>
          <w:right w:val="single" w:sz="18" w:space="0" w:color="auto"/>
        </w:tblBorders>
        <w:tblLayout w:type="fixed"/>
        <w:tblCellMar>
          <w:left w:w="0" w:type="dxa"/>
          <w:right w:w="0" w:type="dxa"/>
        </w:tblCellMar>
        <w:tblLook w:val="0000" w:firstRow="0" w:lastRow="0" w:firstColumn="0" w:lastColumn="0" w:noHBand="0" w:noVBand="0"/>
      </w:tblPr>
      <w:tblGrid>
        <w:gridCol w:w="1021"/>
        <w:gridCol w:w="624"/>
        <w:gridCol w:w="624"/>
        <w:gridCol w:w="624"/>
        <w:gridCol w:w="624"/>
        <w:gridCol w:w="624"/>
        <w:gridCol w:w="624"/>
        <w:gridCol w:w="624"/>
        <w:gridCol w:w="624"/>
        <w:gridCol w:w="624"/>
        <w:gridCol w:w="624"/>
        <w:gridCol w:w="624"/>
        <w:gridCol w:w="624"/>
        <w:gridCol w:w="737"/>
      </w:tblGrid>
      <w:tr w:rsidR="00E732EF" w:rsidRPr="00E732EF" w14:paraId="4ECFF54F" w14:textId="77777777" w:rsidTr="00E732EF">
        <w:trPr>
          <w:trHeight w:hRule="exact" w:val="340"/>
          <w:jc w:val="center"/>
        </w:trPr>
        <w:tc>
          <w:tcPr>
            <w:tcW w:w="1021" w:type="dxa"/>
            <w:tcBorders>
              <w:top w:val="double" w:sz="6" w:space="0" w:color="auto"/>
              <w:left w:val="double" w:sz="6" w:space="0" w:color="auto"/>
              <w:bottom w:val="nil"/>
              <w:right w:val="double" w:sz="4" w:space="0" w:color="auto"/>
            </w:tcBorders>
            <w:vAlign w:val="center"/>
          </w:tcPr>
          <w:p w14:paraId="0C503511"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MJESECI</w:t>
            </w:r>
          </w:p>
        </w:tc>
        <w:tc>
          <w:tcPr>
            <w:tcW w:w="624" w:type="dxa"/>
            <w:tcBorders>
              <w:top w:val="double" w:sz="6" w:space="0" w:color="auto"/>
              <w:left w:val="nil"/>
              <w:bottom w:val="nil"/>
              <w:right w:val="single" w:sz="6" w:space="0" w:color="auto"/>
            </w:tcBorders>
            <w:vAlign w:val="center"/>
          </w:tcPr>
          <w:p w14:paraId="7C1094E1"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7</w:t>
            </w:r>
          </w:p>
        </w:tc>
        <w:tc>
          <w:tcPr>
            <w:tcW w:w="624" w:type="dxa"/>
            <w:tcBorders>
              <w:top w:val="double" w:sz="6" w:space="0" w:color="auto"/>
              <w:left w:val="nil"/>
              <w:bottom w:val="nil"/>
              <w:right w:val="nil"/>
            </w:tcBorders>
            <w:vAlign w:val="center"/>
          </w:tcPr>
          <w:p w14:paraId="232C756D"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8</w:t>
            </w:r>
          </w:p>
        </w:tc>
        <w:tc>
          <w:tcPr>
            <w:tcW w:w="624" w:type="dxa"/>
            <w:tcBorders>
              <w:top w:val="double" w:sz="6" w:space="0" w:color="auto"/>
              <w:left w:val="single" w:sz="6" w:space="0" w:color="auto"/>
              <w:bottom w:val="nil"/>
              <w:right w:val="single" w:sz="6" w:space="0" w:color="auto"/>
            </w:tcBorders>
            <w:vAlign w:val="center"/>
          </w:tcPr>
          <w:p w14:paraId="7BA18978"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9</w:t>
            </w:r>
          </w:p>
        </w:tc>
        <w:tc>
          <w:tcPr>
            <w:tcW w:w="624" w:type="dxa"/>
            <w:tcBorders>
              <w:top w:val="double" w:sz="6" w:space="0" w:color="auto"/>
              <w:left w:val="nil"/>
              <w:bottom w:val="nil"/>
              <w:right w:val="nil"/>
            </w:tcBorders>
            <w:vAlign w:val="center"/>
          </w:tcPr>
          <w:p w14:paraId="7F23CD9B"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10</w:t>
            </w:r>
          </w:p>
        </w:tc>
        <w:tc>
          <w:tcPr>
            <w:tcW w:w="624" w:type="dxa"/>
            <w:tcBorders>
              <w:top w:val="double" w:sz="6" w:space="0" w:color="auto"/>
              <w:left w:val="single" w:sz="6" w:space="0" w:color="auto"/>
              <w:bottom w:val="nil"/>
              <w:right w:val="single" w:sz="6" w:space="0" w:color="auto"/>
            </w:tcBorders>
            <w:vAlign w:val="center"/>
          </w:tcPr>
          <w:p w14:paraId="1B93ADD2"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11</w:t>
            </w:r>
          </w:p>
        </w:tc>
        <w:tc>
          <w:tcPr>
            <w:tcW w:w="624" w:type="dxa"/>
            <w:tcBorders>
              <w:top w:val="double" w:sz="6" w:space="0" w:color="auto"/>
              <w:left w:val="nil"/>
              <w:bottom w:val="nil"/>
              <w:right w:val="nil"/>
            </w:tcBorders>
            <w:vAlign w:val="center"/>
          </w:tcPr>
          <w:p w14:paraId="0B80042B"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12</w:t>
            </w:r>
          </w:p>
        </w:tc>
        <w:tc>
          <w:tcPr>
            <w:tcW w:w="624" w:type="dxa"/>
            <w:tcBorders>
              <w:top w:val="double" w:sz="6" w:space="0" w:color="auto"/>
              <w:left w:val="single" w:sz="6" w:space="0" w:color="auto"/>
              <w:bottom w:val="nil"/>
              <w:right w:val="single" w:sz="6" w:space="0" w:color="auto"/>
            </w:tcBorders>
            <w:vAlign w:val="center"/>
          </w:tcPr>
          <w:p w14:paraId="492CA5E9"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1</w:t>
            </w:r>
          </w:p>
        </w:tc>
        <w:tc>
          <w:tcPr>
            <w:tcW w:w="624" w:type="dxa"/>
            <w:tcBorders>
              <w:top w:val="double" w:sz="6" w:space="0" w:color="auto"/>
              <w:left w:val="nil"/>
              <w:bottom w:val="nil"/>
              <w:right w:val="nil"/>
            </w:tcBorders>
            <w:vAlign w:val="center"/>
          </w:tcPr>
          <w:p w14:paraId="50E5AFA3"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2</w:t>
            </w:r>
          </w:p>
        </w:tc>
        <w:tc>
          <w:tcPr>
            <w:tcW w:w="624" w:type="dxa"/>
            <w:tcBorders>
              <w:top w:val="double" w:sz="6" w:space="0" w:color="auto"/>
              <w:left w:val="single" w:sz="6" w:space="0" w:color="auto"/>
              <w:bottom w:val="nil"/>
              <w:right w:val="single" w:sz="6" w:space="0" w:color="auto"/>
            </w:tcBorders>
            <w:vAlign w:val="center"/>
          </w:tcPr>
          <w:p w14:paraId="168FF1CF"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3</w:t>
            </w:r>
          </w:p>
        </w:tc>
        <w:tc>
          <w:tcPr>
            <w:tcW w:w="624" w:type="dxa"/>
            <w:tcBorders>
              <w:top w:val="double" w:sz="6" w:space="0" w:color="auto"/>
              <w:left w:val="nil"/>
              <w:bottom w:val="nil"/>
              <w:right w:val="nil"/>
            </w:tcBorders>
            <w:vAlign w:val="center"/>
          </w:tcPr>
          <w:p w14:paraId="2B3C53C3"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4</w:t>
            </w:r>
          </w:p>
        </w:tc>
        <w:tc>
          <w:tcPr>
            <w:tcW w:w="624" w:type="dxa"/>
            <w:tcBorders>
              <w:top w:val="double" w:sz="6" w:space="0" w:color="auto"/>
              <w:left w:val="single" w:sz="6" w:space="0" w:color="auto"/>
              <w:bottom w:val="nil"/>
              <w:right w:val="single" w:sz="6" w:space="0" w:color="auto"/>
            </w:tcBorders>
            <w:vAlign w:val="center"/>
          </w:tcPr>
          <w:p w14:paraId="44663735"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5</w:t>
            </w:r>
          </w:p>
        </w:tc>
        <w:tc>
          <w:tcPr>
            <w:tcW w:w="624" w:type="dxa"/>
            <w:tcBorders>
              <w:top w:val="double" w:sz="6" w:space="0" w:color="auto"/>
              <w:left w:val="nil"/>
              <w:bottom w:val="nil"/>
              <w:right w:val="nil"/>
            </w:tcBorders>
            <w:vAlign w:val="center"/>
          </w:tcPr>
          <w:p w14:paraId="2060BE27"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6</w:t>
            </w:r>
          </w:p>
        </w:tc>
        <w:tc>
          <w:tcPr>
            <w:tcW w:w="737" w:type="dxa"/>
            <w:tcBorders>
              <w:top w:val="double" w:sz="6" w:space="0" w:color="auto"/>
              <w:left w:val="double" w:sz="4" w:space="0" w:color="auto"/>
              <w:bottom w:val="nil"/>
              <w:right w:val="double" w:sz="6" w:space="0" w:color="auto"/>
            </w:tcBorders>
            <w:vAlign w:val="center"/>
          </w:tcPr>
          <w:p w14:paraId="3A6BA61A"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ZIMA</w:t>
            </w:r>
          </w:p>
        </w:tc>
      </w:tr>
      <w:tr w:rsidR="00E732EF" w:rsidRPr="00E732EF" w14:paraId="4F70832D" w14:textId="77777777" w:rsidTr="00E732EF">
        <w:trPr>
          <w:trHeight w:val="249"/>
          <w:jc w:val="center"/>
        </w:trPr>
        <w:tc>
          <w:tcPr>
            <w:tcW w:w="9246" w:type="dxa"/>
            <w:gridSpan w:val="14"/>
            <w:tcBorders>
              <w:top w:val="double" w:sz="4" w:space="0" w:color="auto"/>
              <w:left w:val="double" w:sz="6" w:space="0" w:color="auto"/>
              <w:bottom w:val="single" w:sz="2" w:space="0" w:color="auto"/>
              <w:right w:val="double" w:sz="6" w:space="0" w:color="auto"/>
            </w:tcBorders>
            <w:shd w:val="clear" w:color="auto" w:fill="DBE5F1"/>
            <w:vAlign w:val="center"/>
          </w:tcPr>
          <w:p w14:paraId="1B02A494" w14:textId="77777777" w:rsidR="00E732EF" w:rsidRPr="00E732EF" w:rsidRDefault="00E732EF" w:rsidP="00E732EF">
            <w:pPr>
              <w:spacing w:after="0" w:line="240" w:lineRule="auto"/>
              <w:ind w:right="113"/>
              <w:jc w:val="center"/>
              <w:rPr>
                <w:rFonts w:ascii="Arial" w:eastAsia="Times New Roman" w:hAnsi="Arial" w:cs="Arial"/>
                <w:b/>
                <w:noProof/>
                <w:snapToGrid w:val="0"/>
                <w:color w:val="000000"/>
                <w:sz w:val="18"/>
                <w:szCs w:val="20"/>
              </w:rPr>
            </w:pPr>
            <w:r w:rsidRPr="00E732EF">
              <w:rPr>
                <w:rFonts w:ascii="Arial" w:eastAsia="Times New Roman" w:hAnsi="Arial" w:cs="Arial"/>
                <w:b/>
                <w:noProof/>
                <w:snapToGrid w:val="0"/>
                <w:color w:val="000000"/>
                <w:sz w:val="18"/>
                <w:szCs w:val="20"/>
              </w:rPr>
              <w:t>BROJ DANA S PADANJEM SNIJEGA</w:t>
            </w:r>
          </w:p>
        </w:tc>
      </w:tr>
      <w:tr w:rsidR="00E732EF" w:rsidRPr="00E732EF" w14:paraId="5E05A934" w14:textId="77777777" w:rsidTr="00E732EF">
        <w:trPr>
          <w:trHeight w:hRule="exact" w:val="249"/>
          <w:jc w:val="center"/>
        </w:trPr>
        <w:tc>
          <w:tcPr>
            <w:tcW w:w="1021" w:type="dxa"/>
            <w:tcBorders>
              <w:top w:val="double" w:sz="4" w:space="0" w:color="auto"/>
              <w:left w:val="double" w:sz="6" w:space="0" w:color="auto"/>
              <w:bottom w:val="single" w:sz="2" w:space="0" w:color="auto"/>
              <w:right w:val="double" w:sz="4" w:space="0" w:color="auto"/>
            </w:tcBorders>
            <w:vAlign w:val="center"/>
          </w:tcPr>
          <w:p w14:paraId="2A654524"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SRED</w:t>
            </w:r>
          </w:p>
        </w:tc>
        <w:tc>
          <w:tcPr>
            <w:tcW w:w="624" w:type="dxa"/>
            <w:tcBorders>
              <w:top w:val="double" w:sz="4" w:space="0" w:color="auto"/>
              <w:left w:val="nil"/>
              <w:bottom w:val="single" w:sz="2" w:space="0" w:color="auto"/>
              <w:right w:val="single" w:sz="6" w:space="0" w:color="auto"/>
            </w:tcBorders>
            <w:vAlign w:val="bottom"/>
          </w:tcPr>
          <w:p w14:paraId="0A1A5038"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0.0</w:t>
            </w:r>
          </w:p>
        </w:tc>
        <w:tc>
          <w:tcPr>
            <w:tcW w:w="624" w:type="dxa"/>
            <w:tcBorders>
              <w:top w:val="double" w:sz="4" w:space="0" w:color="auto"/>
              <w:left w:val="nil"/>
              <w:bottom w:val="single" w:sz="2" w:space="0" w:color="auto"/>
              <w:right w:val="nil"/>
            </w:tcBorders>
            <w:vAlign w:val="bottom"/>
          </w:tcPr>
          <w:p w14:paraId="2E843B87"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0.0</w:t>
            </w:r>
          </w:p>
        </w:tc>
        <w:tc>
          <w:tcPr>
            <w:tcW w:w="624" w:type="dxa"/>
            <w:tcBorders>
              <w:top w:val="double" w:sz="4" w:space="0" w:color="auto"/>
              <w:left w:val="single" w:sz="6" w:space="0" w:color="auto"/>
              <w:bottom w:val="single" w:sz="2" w:space="0" w:color="auto"/>
              <w:right w:val="single" w:sz="6" w:space="0" w:color="auto"/>
            </w:tcBorders>
            <w:vAlign w:val="bottom"/>
          </w:tcPr>
          <w:p w14:paraId="21EC72F3"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0.0</w:t>
            </w:r>
          </w:p>
        </w:tc>
        <w:tc>
          <w:tcPr>
            <w:tcW w:w="624" w:type="dxa"/>
            <w:tcBorders>
              <w:top w:val="double" w:sz="4" w:space="0" w:color="auto"/>
              <w:left w:val="nil"/>
              <w:bottom w:val="single" w:sz="2" w:space="0" w:color="auto"/>
              <w:right w:val="nil"/>
            </w:tcBorders>
            <w:vAlign w:val="bottom"/>
          </w:tcPr>
          <w:p w14:paraId="0702A401"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0.1</w:t>
            </w:r>
          </w:p>
        </w:tc>
        <w:tc>
          <w:tcPr>
            <w:tcW w:w="624" w:type="dxa"/>
            <w:tcBorders>
              <w:top w:val="double" w:sz="4" w:space="0" w:color="auto"/>
              <w:left w:val="single" w:sz="6" w:space="0" w:color="auto"/>
              <w:bottom w:val="single" w:sz="2" w:space="0" w:color="auto"/>
              <w:right w:val="single" w:sz="6" w:space="0" w:color="auto"/>
            </w:tcBorders>
            <w:vAlign w:val="bottom"/>
          </w:tcPr>
          <w:p w14:paraId="0B5A7808"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1.9</w:t>
            </w:r>
          </w:p>
        </w:tc>
        <w:tc>
          <w:tcPr>
            <w:tcW w:w="624" w:type="dxa"/>
            <w:tcBorders>
              <w:top w:val="double" w:sz="4" w:space="0" w:color="auto"/>
              <w:left w:val="nil"/>
              <w:bottom w:val="single" w:sz="2" w:space="0" w:color="auto"/>
              <w:right w:val="nil"/>
            </w:tcBorders>
            <w:vAlign w:val="bottom"/>
          </w:tcPr>
          <w:p w14:paraId="28BB9131"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4.5</w:t>
            </w:r>
          </w:p>
        </w:tc>
        <w:tc>
          <w:tcPr>
            <w:tcW w:w="624" w:type="dxa"/>
            <w:tcBorders>
              <w:top w:val="double" w:sz="4" w:space="0" w:color="auto"/>
              <w:left w:val="single" w:sz="6" w:space="0" w:color="auto"/>
              <w:bottom w:val="single" w:sz="2" w:space="0" w:color="auto"/>
              <w:right w:val="single" w:sz="6" w:space="0" w:color="auto"/>
            </w:tcBorders>
            <w:vAlign w:val="bottom"/>
          </w:tcPr>
          <w:p w14:paraId="3EBDC6D0"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3.7</w:t>
            </w:r>
          </w:p>
        </w:tc>
        <w:tc>
          <w:tcPr>
            <w:tcW w:w="624" w:type="dxa"/>
            <w:tcBorders>
              <w:top w:val="double" w:sz="4" w:space="0" w:color="auto"/>
              <w:left w:val="nil"/>
              <w:bottom w:val="single" w:sz="2" w:space="0" w:color="auto"/>
              <w:right w:val="nil"/>
            </w:tcBorders>
            <w:vAlign w:val="bottom"/>
          </w:tcPr>
          <w:p w14:paraId="1180F461"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3.6</w:t>
            </w:r>
          </w:p>
        </w:tc>
        <w:tc>
          <w:tcPr>
            <w:tcW w:w="624" w:type="dxa"/>
            <w:tcBorders>
              <w:top w:val="double" w:sz="4" w:space="0" w:color="auto"/>
              <w:left w:val="single" w:sz="6" w:space="0" w:color="auto"/>
              <w:bottom w:val="single" w:sz="2" w:space="0" w:color="auto"/>
              <w:right w:val="single" w:sz="6" w:space="0" w:color="auto"/>
            </w:tcBorders>
            <w:vAlign w:val="bottom"/>
          </w:tcPr>
          <w:p w14:paraId="1B2BE669"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2.4</w:t>
            </w:r>
          </w:p>
        </w:tc>
        <w:tc>
          <w:tcPr>
            <w:tcW w:w="624" w:type="dxa"/>
            <w:tcBorders>
              <w:top w:val="double" w:sz="4" w:space="0" w:color="auto"/>
              <w:left w:val="nil"/>
              <w:bottom w:val="single" w:sz="2" w:space="0" w:color="auto"/>
              <w:right w:val="nil"/>
            </w:tcBorders>
            <w:vAlign w:val="bottom"/>
          </w:tcPr>
          <w:p w14:paraId="7E331452"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0.9</w:t>
            </w:r>
          </w:p>
        </w:tc>
        <w:tc>
          <w:tcPr>
            <w:tcW w:w="624" w:type="dxa"/>
            <w:tcBorders>
              <w:top w:val="double" w:sz="4" w:space="0" w:color="auto"/>
              <w:left w:val="single" w:sz="6" w:space="0" w:color="auto"/>
              <w:bottom w:val="single" w:sz="2" w:space="0" w:color="auto"/>
              <w:right w:val="single" w:sz="6" w:space="0" w:color="auto"/>
            </w:tcBorders>
            <w:vAlign w:val="bottom"/>
          </w:tcPr>
          <w:p w14:paraId="089F8740"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0.0</w:t>
            </w:r>
          </w:p>
        </w:tc>
        <w:tc>
          <w:tcPr>
            <w:tcW w:w="624" w:type="dxa"/>
            <w:tcBorders>
              <w:top w:val="double" w:sz="4" w:space="0" w:color="auto"/>
              <w:left w:val="nil"/>
              <w:bottom w:val="single" w:sz="2" w:space="0" w:color="auto"/>
              <w:right w:val="nil"/>
            </w:tcBorders>
            <w:vAlign w:val="bottom"/>
          </w:tcPr>
          <w:p w14:paraId="6B1466A8"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0.0</w:t>
            </w:r>
          </w:p>
        </w:tc>
        <w:tc>
          <w:tcPr>
            <w:tcW w:w="737" w:type="dxa"/>
            <w:tcBorders>
              <w:top w:val="double" w:sz="4" w:space="0" w:color="auto"/>
              <w:left w:val="double" w:sz="4" w:space="0" w:color="auto"/>
              <w:bottom w:val="single" w:sz="2" w:space="0" w:color="auto"/>
              <w:right w:val="double" w:sz="6" w:space="0" w:color="auto"/>
            </w:tcBorders>
            <w:vAlign w:val="bottom"/>
          </w:tcPr>
          <w:p w14:paraId="08B33505"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16.3</w:t>
            </w:r>
          </w:p>
        </w:tc>
      </w:tr>
      <w:tr w:rsidR="00E732EF" w:rsidRPr="00E732EF" w14:paraId="42F6D4E1" w14:textId="77777777" w:rsidTr="00E732EF">
        <w:trPr>
          <w:trHeight w:hRule="exact" w:val="249"/>
          <w:jc w:val="center"/>
        </w:trPr>
        <w:tc>
          <w:tcPr>
            <w:tcW w:w="1021" w:type="dxa"/>
            <w:tcBorders>
              <w:top w:val="single" w:sz="2" w:space="0" w:color="auto"/>
              <w:left w:val="double" w:sz="6" w:space="0" w:color="auto"/>
              <w:bottom w:val="single" w:sz="2" w:space="0" w:color="auto"/>
              <w:right w:val="double" w:sz="4" w:space="0" w:color="auto"/>
            </w:tcBorders>
            <w:vAlign w:val="center"/>
          </w:tcPr>
          <w:p w14:paraId="1A390610"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STD</w:t>
            </w:r>
          </w:p>
        </w:tc>
        <w:tc>
          <w:tcPr>
            <w:tcW w:w="624" w:type="dxa"/>
            <w:tcBorders>
              <w:top w:val="single" w:sz="2" w:space="0" w:color="auto"/>
              <w:left w:val="nil"/>
              <w:bottom w:val="single" w:sz="2" w:space="0" w:color="auto"/>
              <w:right w:val="single" w:sz="6" w:space="0" w:color="auto"/>
            </w:tcBorders>
            <w:vAlign w:val="bottom"/>
          </w:tcPr>
          <w:p w14:paraId="18AA42F2"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0.0</w:t>
            </w:r>
          </w:p>
        </w:tc>
        <w:tc>
          <w:tcPr>
            <w:tcW w:w="624" w:type="dxa"/>
            <w:tcBorders>
              <w:top w:val="single" w:sz="2" w:space="0" w:color="auto"/>
              <w:left w:val="single" w:sz="6" w:space="0" w:color="auto"/>
              <w:bottom w:val="single" w:sz="2" w:space="0" w:color="auto"/>
              <w:right w:val="single" w:sz="6" w:space="0" w:color="auto"/>
            </w:tcBorders>
            <w:vAlign w:val="bottom"/>
          </w:tcPr>
          <w:p w14:paraId="56D6FB0E"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0.0</w:t>
            </w:r>
          </w:p>
        </w:tc>
        <w:tc>
          <w:tcPr>
            <w:tcW w:w="624" w:type="dxa"/>
            <w:tcBorders>
              <w:top w:val="single" w:sz="2" w:space="0" w:color="auto"/>
              <w:left w:val="single" w:sz="6" w:space="0" w:color="auto"/>
              <w:bottom w:val="single" w:sz="2" w:space="0" w:color="auto"/>
              <w:right w:val="single" w:sz="6" w:space="0" w:color="auto"/>
            </w:tcBorders>
            <w:vAlign w:val="bottom"/>
          </w:tcPr>
          <w:p w14:paraId="106A2A52"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0.0</w:t>
            </w:r>
          </w:p>
        </w:tc>
        <w:tc>
          <w:tcPr>
            <w:tcW w:w="624" w:type="dxa"/>
            <w:tcBorders>
              <w:top w:val="single" w:sz="2" w:space="0" w:color="auto"/>
              <w:left w:val="single" w:sz="6" w:space="0" w:color="auto"/>
              <w:bottom w:val="single" w:sz="2" w:space="0" w:color="auto"/>
              <w:right w:val="single" w:sz="6" w:space="0" w:color="auto"/>
            </w:tcBorders>
            <w:vAlign w:val="bottom"/>
          </w:tcPr>
          <w:p w14:paraId="53E64449"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0.2</w:t>
            </w:r>
          </w:p>
        </w:tc>
        <w:tc>
          <w:tcPr>
            <w:tcW w:w="624" w:type="dxa"/>
            <w:tcBorders>
              <w:top w:val="single" w:sz="2" w:space="0" w:color="auto"/>
              <w:left w:val="single" w:sz="6" w:space="0" w:color="auto"/>
              <w:bottom w:val="single" w:sz="2" w:space="0" w:color="auto"/>
              <w:right w:val="single" w:sz="6" w:space="0" w:color="auto"/>
            </w:tcBorders>
            <w:vAlign w:val="bottom"/>
          </w:tcPr>
          <w:p w14:paraId="43D67CB6"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2.9</w:t>
            </w:r>
          </w:p>
        </w:tc>
        <w:tc>
          <w:tcPr>
            <w:tcW w:w="624" w:type="dxa"/>
            <w:tcBorders>
              <w:top w:val="single" w:sz="2" w:space="0" w:color="auto"/>
              <w:left w:val="single" w:sz="6" w:space="0" w:color="auto"/>
              <w:bottom w:val="single" w:sz="2" w:space="0" w:color="auto"/>
              <w:right w:val="single" w:sz="6" w:space="0" w:color="auto"/>
            </w:tcBorders>
            <w:vAlign w:val="bottom"/>
          </w:tcPr>
          <w:p w14:paraId="167B23F1"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3.2</w:t>
            </w:r>
          </w:p>
        </w:tc>
        <w:tc>
          <w:tcPr>
            <w:tcW w:w="624" w:type="dxa"/>
            <w:tcBorders>
              <w:top w:val="single" w:sz="2" w:space="0" w:color="auto"/>
              <w:left w:val="single" w:sz="6" w:space="0" w:color="auto"/>
              <w:bottom w:val="single" w:sz="2" w:space="0" w:color="auto"/>
              <w:right w:val="single" w:sz="6" w:space="0" w:color="auto"/>
            </w:tcBorders>
            <w:vAlign w:val="bottom"/>
          </w:tcPr>
          <w:p w14:paraId="0D1E9584"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3.1</w:t>
            </w:r>
          </w:p>
        </w:tc>
        <w:tc>
          <w:tcPr>
            <w:tcW w:w="624" w:type="dxa"/>
            <w:tcBorders>
              <w:top w:val="single" w:sz="2" w:space="0" w:color="auto"/>
              <w:left w:val="single" w:sz="6" w:space="0" w:color="auto"/>
              <w:bottom w:val="single" w:sz="2" w:space="0" w:color="auto"/>
              <w:right w:val="single" w:sz="6" w:space="0" w:color="auto"/>
            </w:tcBorders>
            <w:vAlign w:val="bottom"/>
          </w:tcPr>
          <w:p w14:paraId="695AAEEF"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3.1</w:t>
            </w:r>
          </w:p>
        </w:tc>
        <w:tc>
          <w:tcPr>
            <w:tcW w:w="624" w:type="dxa"/>
            <w:tcBorders>
              <w:top w:val="single" w:sz="2" w:space="0" w:color="auto"/>
              <w:left w:val="single" w:sz="6" w:space="0" w:color="auto"/>
              <w:bottom w:val="single" w:sz="2" w:space="0" w:color="auto"/>
              <w:right w:val="single" w:sz="6" w:space="0" w:color="auto"/>
            </w:tcBorders>
            <w:vAlign w:val="bottom"/>
          </w:tcPr>
          <w:p w14:paraId="56F5F9B0"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2.0</w:t>
            </w:r>
          </w:p>
        </w:tc>
        <w:tc>
          <w:tcPr>
            <w:tcW w:w="624" w:type="dxa"/>
            <w:tcBorders>
              <w:top w:val="single" w:sz="2" w:space="0" w:color="auto"/>
              <w:left w:val="single" w:sz="6" w:space="0" w:color="auto"/>
              <w:bottom w:val="single" w:sz="2" w:space="0" w:color="auto"/>
              <w:right w:val="single" w:sz="6" w:space="0" w:color="auto"/>
            </w:tcBorders>
            <w:vAlign w:val="bottom"/>
          </w:tcPr>
          <w:p w14:paraId="3578C03C"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1.7</w:t>
            </w:r>
          </w:p>
        </w:tc>
        <w:tc>
          <w:tcPr>
            <w:tcW w:w="624" w:type="dxa"/>
            <w:tcBorders>
              <w:top w:val="single" w:sz="2" w:space="0" w:color="auto"/>
              <w:left w:val="single" w:sz="6" w:space="0" w:color="auto"/>
              <w:bottom w:val="single" w:sz="2" w:space="0" w:color="auto"/>
              <w:right w:val="single" w:sz="6" w:space="0" w:color="auto"/>
            </w:tcBorders>
            <w:vAlign w:val="bottom"/>
          </w:tcPr>
          <w:p w14:paraId="74739BD4"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0.0</w:t>
            </w:r>
          </w:p>
        </w:tc>
        <w:tc>
          <w:tcPr>
            <w:tcW w:w="624" w:type="dxa"/>
            <w:tcBorders>
              <w:top w:val="single" w:sz="2" w:space="0" w:color="auto"/>
              <w:left w:val="single" w:sz="6" w:space="0" w:color="auto"/>
              <w:bottom w:val="single" w:sz="2" w:space="0" w:color="auto"/>
              <w:right w:val="nil"/>
            </w:tcBorders>
            <w:vAlign w:val="bottom"/>
          </w:tcPr>
          <w:p w14:paraId="122E12A6"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0.0</w:t>
            </w:r>
          </w:p>
        </w:tc>
        <w:tc>
          <w:tcPr>
            <w:tcW w:w="737" w:type="dxa"/>
            <w:tcBorders>
              <w:top w:val="single" w:sz="2" w:space="0" w:color="auto"/>
              <w:left w:val="double" w:sz="4" w:space="0" w:color="auto"/>
              <w:bottom w:val="single" w:sz="2" w:space="0" w:color="auto"/>
              <w:right w:val="double" w:sz="6" w:space="0" w:color="auto"/>
            </w:tcBorders>
            <w:vAlign w:val="bottom"/>
          </w:tcPr>
          <w:p w14:paraId="0C8E1CE2"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8.7</w:t>
            </w:r>
          </w:p>
        </w:tc>
      </w:tr>
      <w:tr w:rsidR="00E732EF" w:rsidRPr="00E732EF" w14:paraId="2FAC8595" w14:textId="77777777" w:rsidTr="00E732EF">
        <w:trPr>
          <w:trHeight w:hRule="exact" w:val="249"/>
          <w:jc w:val="center"/>
        </w:trPr>
        <w:tc>
          <w:tcPr>
            <w:tcW w:w="1021" w:type="dxa"/>
            <w:tcBorders>
              <w:top w:val="single" w:sz="2" w:space="0" w:color="auto"/>
              <w:left w:val="double" w:sz="6" w:space="0" w:color="auto"/>
              <w:bottom w:val="single" w:sz="2" w:space="0" w:color="auto"/>
              <w:right w:val="double" w:sz="4" w:space="0" w:color="auto"/>
            </w:tcBorders>
            <w:vAlign w:val="center"/>
          </w:tcPr>
          <w:p w14:paraId="1251A038"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MIN</w:t>
            </w:r>
          </w:p>
        </w:tc>
        <w:tc>
          <w:tcPr>
            <w:tcW w:w="624" w:type="dxa"/>
            <w:tcBorders>
              <w:top w:val="single" w:sz="2" w:space="0" w:color="auto"/>
              <w:left w:val="nil"/>
              <w:bottom w:val="single" w:sz="2" w:space="0" w:color="auto"/>
              <w:right w:val="single" w:sz="6" w:space="0" w:color="auto"/>
            </w:tcBorders>
            <w:vAlign w:val="bottom"/>
          </w:tcPr>
          <w:p w14:paraId="607C4E12"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1BCBFE8E"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7BF14448"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71D56EEC"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240D3BD0"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2ABC5994"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16C55364"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2B1CE7E4"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0EF8D106"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7A7799AF"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single" w:sz="6" w:space="0" w:color="auto"/>
            </w:tcBorders>
            <w:vAlign w:val="bottom"/>
          </w:tcPr>
          <w:p w14:paraId="594FCBDA"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single" w:sz="2" w:space="0" w:color="auto"/>
              <w:right w:val="nil"/>
            </w:tcBorders>
            <w:vAlign w:val="bottom"/>
          </w:tcPr>
          <w:p w14:paraId="654C5F02"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737" w:type="dxa"/>
            <w:tcBorders>
              <w:top w:val="single" w:sz="2" w:space="0" w:color="auto"/>
              <w:left w:val="double" w:sz="4" w:space="0" w:color="auto"/>
              <w:bottom w:val="single" w:sz="2" w:space="0" w:color="auto"/>
              <w:right w:val="double" w:sz="6" w:space="0" w:color="auto"/>
            </w:tcBorders>
            <w:vAlign w:val="bottom"/>
          </w:tcPr>
          <w:p w14:paraId="3DE5B062"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2</w:t>
            </w:r>
          </w:p>
        </w:tc>
      </w:tr>
      <w:tr w:rsidR="00E732EF" w:rsidRPr="00E732EF" w14:paraId="1BFF26CE" w14:textId="77777777" w:rsidTr="00E732EF">
        <w:trPr>
          <w:trHeight w:hRule="exact" w:val="249"/>
          <w:jc w:val="center"/>
        </w:trPr>
        <w:tc>
          <w:tcPr>
            <w:tcW w:w="1021" w:type="dxa"/>
            <w:tcBorders>
              <w:top w:val="single" w:sz="2" w:space="0" w:color="auto"/>
              <w:left w:val="double" w:sz="6" w:space="0" w:color="auto"/>
              <w:bottom w:val="double" w:sz="4" w:space="0" w:color="auto"/>
              <w:right w:val="double" w:sz="4" w:space="0" w:color="auto"/>
            </w:tcBorders>
            <w:vAlign w:val="center"/>
          </w:tcPr>
          <w:p w14:paraId="088D60C7"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MAKS</w:t>
            </w:r>
          </w:p>
        </w:tc>
        <w:tc>
          <w:tcPr>
            <w:tcW w:w="624" w:type="dxa"/>
            <w:tcBorders>
              <w:top w:val="single" w:sz="2" w:space="0" w:color="auto"/>
              <w:left w:val="nil"/>
              <w:bottom w:val="double" w:sz="4" w:space="0" w:color="auto"/>
              <w:right w:val="single" w:sz="6" w:space="0" w:color="auto"/>
            </w:tcBorders>
            <w:vAlign w:val="bottom"/>
          </w:tcPr>
          <w:p w14:paraId="32C655E3"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double" w:sz="4" w:space="0" w:color="auto"/>
              <w:right w:val="single" w:sz="6" w:space="0" w:color="auto"/>
            </w:tcBorders>
            <w:vAlign w:val="bottom"/>
          </w:tcPr>
          <w:p w14:paraId="7DD9A3A7"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double" w:sz="4" w:space="0" w:color="auto"/>
              <w:right w:val="single" w:sz="6" w:space="0" w:color="auto"/>
            </w:tcBorders>
            <w:vAlign w:val="bottom"/>
          </w:tcPr>
          <w:p w14:paraId="216834BB"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double" w:sz="4" w:space="0" w:color="auto"/>
              <w:right w:val="single" w:sz="6" w:space="0" w:color="auto"/>
            </w:tcBorders>
            <w:vAlign w:val="bottom"/>
          </w:tcPr>
          <w:p w14:paraId="35BBB58A"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1</w:t>
            </w:r>
          </w:p>
        </w:tc>
        <w:tc>
          <w:tcPr>
            <w:tcW w:w="624" w:type="dxa"/>
            <w:tcBorders>
              <w:top w:val="single" w:sz="2" w:space="0" w:color="auto"/>
              <w:left w:val="single" w:sz="6" w:space="0" w:color="auto"/>
              <w:bottom w:val="double" w:sz="4" w:space="0" w:color="auto"/>
              <w:right w:val="single" w:sz="6" w:space="0" w:color="auto"/>
            </w:tcBorders>
            <w:vAlign w:val="bottom"/>
          </w:tcPr>
          <w:p w14:paraId="7D302D2C"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9</w:t>
            </w:r>
          </w:p>
        </w:tc>
        <w:tc>
          <w:tcPr>
            <w:tcW w:w="624" w:type="dxa"/>
            <w:tcBorders>
              <w:top w:val="single" w:sz="2" w:space="0" w:color="auto"/>
              <w:left w:val="single" w:sz="6" w:space="0" w:color="auto"/>
              <w:bottom w:val="double" w:sz="4" w:space="0" w:color="auto"/>
              <w:right w:val="single" w:sz="6" w:space="0" w:color="auto"/>
            </w:tcBorders>
            <w:vAlign w:val="bottom"/>
          </w:tcPr>
          <w:p w14:paraId="3C41DA1C"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11</w:t>
            </w:r>
          </w:p>
        </w:tc>
        <w:tc>
          <w:tcPr>
            <w:tcW w:w="624" w:type="dxa"/>
            <w:tcBorders>
              <w:top w:val="single" w:sz="2" w:space="0" w:color="auto"/>
              <w:left w:val="single" w:sz="6" w:space="0" w:color="auto"/>
              <w:bottom w:val="double" w:sz="4" w:space="0" w:color="auto"/>
              <w:right w:val="single" w:sz="6" w:space="0" w:color="auto"/>
            </w:tcBorders>
            <w:vAlign w:val="bottom"/>
          </w:tcPr>
          <w:p w14:paraId="45593804"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10</w:t>
            </w:r>
          </w:p>
        </w:tc>
        <w:tc>
          <w:tcPr>
            <w:tcW w:w="624" w:type="dxa"/>
            <w:tcBorders>
              <w:top w:val="single" w:sz="2" w:space="0" w:color="auto"/>
              <w:left w:val="single" w:sz="6" w:space="0" w:color="auto"/>
              <w:bottom w:val="double" w:sz="4" w:space="0" w:color="auto"/>
              <w:right w:val="single" w:sz="6" w:space="0" w:color="auto"/>
            </w:tcBorders>
            <w:vAlign w:val="bottom"/>
          </w:tcPr>
          <w:p w14:paraId="0AC6D51C"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10</w:t>
            </w:r>
          </w:p>
        </w:tc>
        <w:tc>
          <w:tcPr>
            <w:tcW w:w="624" w:type="dxa"/>
            <w:tcBorders>
              <w:top w:val="single" w:sz="2" w:space="0" w:color="auto"/>
              <w:left w:val="single" w:sz="6" w:space="0" w:color="auto"/>
              <w:bottom w:val="double" w:sz="4" w:space="0" w:color="auto"/>
              <w:right w:val="single" w:sz="6" w:space="0" w:color="auto"/>
            </w:tcBorders>
            <w:vAlign w:val="bottom"/>
          </w:tcPr>
          <w:p w14:paraId="08EA5CFB"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6</w:t>
            </w:r>
          </w:p>
        </w:tc>
        <w:tc>
          <w:tcPr>
            <w:tcW w:w="624" w:type="dxa"/>
            <w:tcBorders>
              <w:top w:val="single" w:sz="2" w:space="0" w:color="auto"/>
              <w:left w:val="single" w:sz="6" w:space="0" w:color="auto"/>
              <w:bottom w:val="double" w:sz="4" w:space="0" w:color="auto"/>
              <w:right w:val="single" w:sz="6" w:space="0" w:color="auto"/>
            </w:tcBorders>
            <w:vAlign w:val="bottom"/>
          </w:tcPr>
          <w:p w14:paraId="21FDB971"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6</w:t>
            </w:r>
          </w:p>
        </w:tc>
        <w:tc>
          <w:tcPr>
            <w:tcW w:w="624" w:type="dxa"/>
            <w:tcBorders>
              <w:top w:val="single" w:sz="2" w:space="0" w:color="auto"/>
              <w:left w:val="single" w:sz="6" w:space="0" w:color="auto"/>
              <w:bottom w:val="double" w:sz="4" w:space="0" w:color="auto"/>
              <w:right w:val="single" w:sz="6" w:space="0" w:color="auto"/>
            </w:tcBorders>
            <w:vAlign w:val="bottom"/>
          </w:tcPr>
          <w:p w14:paraId="1DBFD6A1"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single" w:sz="2" w:space="0" w:color="auto"/>
              <w:left w:val="single" w:sz="6" w:space="0" w:color="auto"/>
              <w:bottom w:val="double" w:sz="4" w:space="0" w:color="auto"/>
              <w:right w:val="nil"/>
            </w:tcBorders>
            <w:vAlign w:val="bottom"/>
          </w:tcPr>
          <w:p w14:paraId="6399A944"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737" w:type="dxa"/>
            <w:tcBorders>
              <w:top w:val="single" w:sz="2" w:space="0" w:color="auto"/>
              <w:left w:val="double" w:sz="4" w:space="0" w:color="auto"/>
              <w:bottom w:val="double" w:sz="4" w:space="0" w:color="auto"/>
              <w:right w:val="double" w:sz="6" w:space="0" w:color="auto"/>
            </w:tcBorders>
            <w:vAlign w:val="bottom"/>
          </w:tcPr>
          <w:p w14:paraId="18FF7A2F"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39</w:t>
            </w:r>
          </w:p>
        </w:tc>
      </w:tr>
      <w:tr w:rsidR="00E732EF" w:rsidRPr="00E732EF" w14:paraId="2A347E1C" w14:textId="77777777" w:rsidTr="00E732EF">
        <w:trPr>
          <w:trHeight w:val="249"/>
          <w:jc w:val="center"/>
        </w:trPr>
        <w:tc>
          <w:tcPr>
            <w:tcW w:w="9246" w:type="dxa"/>
            <w:gridSpan w:val="14"/>
            <w:tcBorders>
              <w:top w:val="double" w:sz="4" w:space="0" w:color="auto"/>
              <w:left w:val="double" w:sz="6" w:space="0" w:color="auto"/>
              <w:bottom w:val="double" w:sz="6" w:space="0" w:color="auto"/>
              <w:right w:val="double" w:sz="6" w:space="0" w:color="auto"/>
            </w:tcBorders>
            <w:shd w:val="clear" w:color="auto" w:fill="DBE5F1"/>
            <w:vAlign w:val="center"/>
          </w:tcPr>
          <w:p w14:paraId="26807C7D" w14:textId="77777777" w:rsidR="00E732EF" w:rsidRPr="00E732EF" w:rsidRDefault="00E732EF" w:rsidP="00E732EF">
            <w:pPr>
              <w:spacing w:after="0" w:line="240" w:lineRule="auto"/>
              <w:ind w:right="113"/>
              <w:jc w:val="center"/>
              <w:rPr>
                <w:rFonts w:ascii="Arial" w:eastAsia="Times New Roman" w:hAnsi="Arial" w:cs="Arial"/>
                <w:b/>
                <w:noProof/>
                <w:snapToGrid w:val="0"/>
                <w:color w:val="000000"/>
                <w:sz w:val="18"/>
                <w:szCs w:val="20"/>
              </w:rPr>
            </w:pPr>
            <w:r w:rsidRPr="00E732EF">
              <w:rPr>
                <w:rFonts w:ascii="Arial" w:eastAsia="Times New Roman" w:hAnsi="Arial" w:cs="Arial"/>
                <w:b/>
                <w:noProof/>
                <w:snapToGrid w:val="0"/>
                <w:color w:val="000000"/>
                <w:sz w:val="18"/>
                <w:szCs w:val="20"/>
              </w:rPr>
              <w:t>MAKSIMALNA VISINA NOVOGA SNIJEGA (cm)</w:t>
            </w:r>
          </w:p>
        </w:tc>
      </w:tr>
      <w:tr w:rsidR="00E732EF" w:rsidRPr="00E732EF" w14:paraId="5A2B508A" w14:textId="77777777" w:rsidTr="00E732EF">
        <w:trPr>
          <w:trHeight w:hRule="exact" w:val="249"/>
          <w:jc w:val="center"/>
        </w:trPr>
        <w:tc>
          <w:tcPr>
            <w:tcW w:w="1021" w:type="dxa"/>
            <w:tcBorders>
              <w:top w:val="double" w:sz="6" w:space="0" w:color="auto"/>
              <w:left w:val="double" w:sz="6" w:space="0" w:color="auto"/>
              <w:bottom w:val="nil"/>
              <w:right w:val="double" w:sz="4" w:space="0" w:color="auto"/>
            </w:tcBorders>
            <w:vAlign w:val="center"/>
          </w:tcPr>
          <w:p w14:paraId="3AD6C294"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MAKS</w:t>
            </w:r>
          </w:p>
        </w:tc>
        <w:tc>
          <w:tcPr>
            <w:tcW w:w="624" w:type="dxa"/>
            <w:tcBorders>
              <w:top w:val="double" w:sz="6" w:space="0" w:color="auto"/>
              <w:left w:val="nil"/>
              <w:bottom w:val="nil"/>
              <w:right w:val="single" w:sz="6" w:space="0" w:color="auto"/>
            </w:tcBorders>
            <w:vAlign w:val="bottom"/>
          </w:tcPr>
          <w:p w14:paraId="5BF36967"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double" w:sz="6" w:space="0" w:color="auto"/>
              <w:left w:val="single" w:sz="6" w:space="0" w:color="auto"/>
              <w:bottom w:val="nil"/>
              <w:right w:val="single" w:sz="6" w:space="0" w:color="auto"/>
            </w:tcBorders>
            <w:vAlign w:val="bottom"/>
          </w:tcPr>
          <w:p w14:paraId="241F72C1"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double" w:sz="6" w:space="0" w:color="auto"/>
              <w:left w:val="single" w:sz="6" w:space="0" w:color="auto"/>
              <w:bottom w:val="nil"/>
              <w:right w:val="single" w:sz="6" w:space="0" w:color="auto"/>
            </w:tcBorders>
            <w:vAlign w:val="bottom"/>
          </w:tcPr>
          <w:p w14:paraId="658223E3"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double" w:sz="6" w:space="0" w:color="auto"/>
              <w:left w:val="single" w:sz="6" w:space="0" w:color="auto"/>
              <w:bottom w:val="nil"/>
              <w:right w:val="single" w:sz="6" w:space="0" w:color="auto"/>
            </w:tcBorders>
            <w:vAlign w:val="bottom"/>
          </w:tcPr>
          <w:p w14:paraId="4CA7AA22"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double" w:sz="6" w:space="0" w:color="auto"/>
              <w:left w:val="single" w:sz="6" w:space="0" w:color="auto"/>
              <w:bottom w:val="nil"/>
              <w:right w:val="single" w:sz="6" w:space="0" w:color="auto"/>
            </w:tcBorders>
            <w:vAlign w:val="bottom"/>
          </w:tcPr>
          <w:p w14:paraId="5736BF0E"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33</w:t>
            </w:r>
          </w:p>
        </w:tc>
        <w:tc>
          <w:tcPr>
            <w:tcW w:w="624" w:type="dxa"/>
            <w:tcBorders>
              <w:top w:val="double" w:sz="6" w:space="0" w:color="auto"/>
              <w:left w:val="single" w:sz="6" w:space="0" w:color="auto"/>
              <w:bottom w:val="nil"/>
              <w:right w:val="single" w:sz="6" w:space="0" w:color="auto"/>
            </w:tcBorders>
            <w:vAlign w:val="bottom"/>
          </w:tcPr>
          <w:p w14:paraId="6A4C5AB8"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30</w:t>
            </w:r>
          </w:p>
        </w:tc>
        <w:tc>
          <w:tcPr>
            <w:tcW w:w="624" w:type="dxa"/>
            <w:tcBorders>
              <w:top w:val="double" w:sz="6" w:space="0" w:color="auto"/>
              <w:left w:val="single" w:sz="6" w:space="0" w:color="auto"/>
              <w:bottom w:val="nil"/>
              <w:right w:val="single" w:sz="6" w:space="0" w:color="auto"/>
            </w:tcBorders>
            <w:vAlign w:val="bottom"/>
          </w:tcPr>
          <w:p w14:paraId="0E412E7F"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11</w:t>
            </w:r>
          </w:p>
        </w:tc>
        <w:tc>
          <w:tcPr>
            <w:tcW w:w="624" w:type="dxa"/>
            <w:tcBorders>
              <w:top w:val="double" w:sz="6" w:space="0" w:color="auto"/>
              <w:left w:val="single" w:sz="6" w:space="0" w:color="auto"/>
              <w:bottom w:val="nil"/>
              <w:right w:val="single" w:sz="6" w:space="0" w:color="auto"/>
            </w:tcBorders>
            <w:vAlign w:val="bottom"/>
          </w:tcPr>
          <w:p w14:paraId="75A175F5"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35</w:t>
            </w:r>
          </w:p>
        </w:tc>
        <w:tc>
          <w:tcPr>
            <w:tcW w:w="624" w:type="dxa"/>
            <w:tcBorders>
              <w:top w:val="double" w:sz="6" w:space="0" w:color="auto"/>
              <w:left w:val="single" w:sz="6" w:space="0" w:color="auto"/>
              <w:bottom w:val="nil"/>
              <w:right w:val="single" w:sz="6" w:space="0" w:color="auto"/>
            </w:tcBorders>
            <w:vAlign w:val="bottom"/>
          </w:tcPr>
          <w:p w14:paraId="4E371E35"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9</w:t>
            </w:r>
          </w:p>
        </w:tc>
        <w:tc>
          <w:tcPr>
            <w:tcW w:w="624" w:type="dxa"/>
            <w:tcBorders>
              <w:top w:val="double" w:sz="6" w:space="0" w:color="auto"/>
              <w:left w:val="single" w:sz="6" w:space="0" w:color="auto"/>
              <w:bottom w:val="nil"/>
              <w:right w:val="single" w:sz="6" w:space="0" w:color="auto"/>
            </w:tcBorders>
            <w:vAlign w:val="bottom"/>
          </w:tcPr>
          <w:p w14:paraId="338EA7CE"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16</w:t>
            </w:r>
          </w:p>
        </w:tc>
        <w:tc>
          <w:tcPr>
            <w:tcW w:w="624" w:type="dxa"/>
            <w:tcBorders>
              <w:top w:val="double" w:sz="6" w:space="0" w:color="auto"/>
              <w:left w:val="single" w:sz="6" w:space="0" w:color="auto"/>
              <w:bottom w:val="nil"/>
              <w:right w:val="single" w:sz="6" w:space="0" w:color="auto"/>
            </w:tcBorders>
            <w:vAlign w:val="bottom"/>
          </w:tcPr>
          <w:p w14:paraId="02C8476E"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double" w:sz="6" w:space="0" w:color="auto"/>
              <w:left w:val="single" w:sz="6" w:space="0" w:color="auto"/>
              <w:bottom w:val="nil"/>
              <w:right w:val="nil"/>
            </w:tcBorders>
            <w:vAlign w:val="bottom"/>
          </w:tcPr>
          <w:p w14:paraId="58690646"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737" w:type="dxa"/>
            <w:tcBorders>
              <w:top w:val="double" w:sz="6" w:space="0" w:color="auto"/>
              <w:left w:val="double" w:sz="4" w:space="0" w:color="auto"/>
              <w:bottom w:val="nil"/>
              <w:right w:val="double" w:sz="6" w:space="0" w:color="auto"/>
            </w:tcBorders>
            <w:vAlign w:val="bottom"/>
          </w:tcPr>
          <w:p w14:paraId="502297ED"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Arial Unicode MS" w:hAnsi="Arial" w:cs="Arial"/>
                <w:noProof/>
                <w:sz w:val="18"/>
                <w:szCs w:val="20"/>
              </w:rPr>
              <w:t>35</w:t>
            </w:r>
          </w:p>
        </w:tc>
      </w:tr>
      <w:tr w:rsidR="00E732EF" w:rsidRPr="00E732EF" w14:paraId="6681BCDE" w14:textId="77777777" w:rsidTr="00E732EF">
        <w:trPr>
          <w:trHeight w:val="249"/>
          <w:jc w:val="center"/>
        </w:trPr>
        <w:tc>
          <w:tcPr>
            <w:tcW w:w="9246" w:type="dxa"/>
            <w:gridSpan w:val="14"/>
            <w:tcBorders>
              <w:top w:val="double" w:sz="4" w:space="0" w:color="auto"/>
              <w:left w:val="double" w:sz="6" w:space="0" w:color="auto"/>
              <w:bottom w:val="double" w:sz="4" w:space="0" w:color="auto"/>
              <w:right w:val="double" w:sz="6" w:space="0" w:color="auto"/>
            </w:tcBorders>
            <w:shd w:val="clear" w:color="auto" w:fill="DBE5F1"/>
            <w:vAlign w:val="center"/>
          </w:tcPr>
          <w:p w14:paraId="4ABD981F" w14:textId="77777777" w:rsidR="00E732EF" w:rsidRPr="00E732EF" w:rsidRDefault="00E732EF" w:rsidP="00E732EF">
            <w:pPr>
              <w:spacing w:after="0" w:line="240" w:lineRule="auto"/>
              <w:ind w:right="113"/>
              <w:jc w:val="center"/>
              <w:rPr>
                <w:rFonts w:ascii="Arial" w:eastAsia="Times New Roman" w:hAnsi="Arial" w:cs="Arial"/>
                <w:b/>
                <w:noProof/>
                <w:snapToGrid w:val="0"/>
                <w:color w:val="000000"/>
                <w:sz w:val="18"/>
                <w:szCs w:val="20"/>
              </w:rPr>
            </w:pPr>
            <w:r w:rsidRPr="00E732EF">
              <w:rPr>
                <w:rFonts w:ascii="Arial" w:eastAsia="Times New Roman" w:hAnsi="Arial" w:cs="Arial"/>
                <w:b/>
                <w:noProof/>
                <w:snapToGrid w:val="0"/>
                <w:color w:val="000000"/>
                <w:sz w:val="18"/>
                <w:szCs w:val="20"/>
              </w:rPr>
              <w:t>MAKSIMALNA VISINA SNJEŽNOG POKRIVAČA (cm)</w:t>
            </w:r>
          </w:p>
        </w:tc>
      </w:tr>
      <w:tr w:rsidR="00E732EF" w:rsidRPr="00E732EF" w14:paraId="69FBF704" w14:textId="77777777" w:rsidTr="00E732EF">
        <w:trPr>
          <w:trHeight w:hRule="exact" w:val="249"/>
          <w:jc w:val="center"/>
        </w:trPr>
        <w:tc>
          <w:tcPr>
            <w:tcW w:w="1021" w:type="dxa"/>
            <w:tcBorders>
              <w:top w:val="double" w:sz="4" w:space="0" w:color="auto"/>
              <w:left w:val="double" w:sz="6" w:space="0" w:color="auto"/>
              <w:bottom w:val="single" w:sz="2" w:space="0" w:color="auto"/>
              <w:right w:val="double" w:sz="4" w:space="0" w:color="auto"/>
            </w:tcBorders>
            <w:vAlign w:val="center"/>
          </w:tcPr>
          <w:p w14:paraId="1A378829"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MAKS</w:t>
            </w:r>
          </w:p>
        </w:tc>
        <w:tc>
          <w:tcPr>
            <w:tcW w:w="624" w:type="dxa"/>
            <w:tcBorders>
              <w:top w:val="double" w:sz="4" w:space="0" w:color="auto"/>
              <w:left w:val="nil"/>
              <w:bottom w:val="single" w:sz="2" w:space="0" w:color="auto"/>
              <w:right w:val="single" w:sz="6" w:space="0" w:color="auto"/>
            </w:tcBorders>
            <w:vAlign w:val="bottom"/>
          </w:tcPr>
          <w:p w14:paraId="5F6F5BDE"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double" w:sz="4" w:space="0" w:color="auto"/>
              <w:left w:val="nil"/>
              <w:bottom w:val="single" w:sz="2" w:space="0" w:color="auto"/>
              <w:right w:val="nil"/>
            </w:tcBorders>
            <w:vAlign w:val="bottom"/>
          </w:tcPr>
          <w:p w14:paraId="4E243EB8"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double" w:sz="4" w:space="0" w:color="auto"/>
              <w:left w:val="single" w:sz="6" w:space="0" w:color="auto"/>
              <w:bottom w:val="single" w:sz="2" w:space="0" w:color="auto"/>
              <w:right w:val="single" w:sz="6" w:space="0" w:color="auto"/>
            </w:tcBorders>
            <w:vAlign w:val="bottom"/>
          </w:tcPr>
          <w:p w14:paraId="5F870856"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double" w:sz="4" w:space="0" w:color="auto"/>
              <w:left w:val="nil"/>
              <w:bottom w:val="single" w:sz="2" w:space="0" w:color="auto"/>
              <w:right w:val="nil"/>
            </w:tcBorders>
            <w:vAlign w:val="bottom"/>
          </w:tcPr>
          <w:p w14:paraId="5A57AFDF"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double" w:sz="4" w:space="0" w:color="auto"/>
              <w:left w:val="single" w:sz="6" w:space="0" w:color="auto"/>
              <w:bottom w:val="single" w:sz="2" w:space="0" w:color="auto"/>
              <w:right w:val="single" w:sz="6" w:space="0" w:color="auto"/>
            </w:tcBorders>
            <w:vAlign w:val="bottom"/>
          </w:tcPr>
          <w:p w14:paraId="7102D5AD"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57</w:t>
            </w:r>
          </w:p>
        </w:tc>
        <w:tc>
          <w:tcPr>
            <w:tcW w:w="624" w:type="dxa"/>
            <w:tcBorders>
              <w:top w:val="double" w:sz="4" w:space="0" w:color="auto"/>
              <w:left w:val="nil"/>
              <w:bottom w:val="single" w:sz="2" w:space="0" w:color="auto"/>
              <w:right w:val="nil"/>
            </w:tcBorders>
            <w:vAlign w:val="bottom"/>
          </w:tcPr>
          <w:p w14:paraId="14CC3B9F"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55</w:t>
            </w:r>
          </w:p>
        </w:tc>
        <w:tc>
          <w:tcPr>
            <w:tcW w:w="624" w:type="dxa"/>
            <w:tcBorders>
              <w:top w:val="double" w:sz="4" w:space="0" w:color="auto"/>
              <w:left w:val="single" w:sz="6" w:space="0" w:color="auto"/>
              <w:bottom w:val="single" w:sz="2" w:space="0" w:color="auto"/>
              <w:right w:val="single" w:sz="6" w:space="0" w:color="auto"/>
            </w:tcBorders>
            <w:vAlign w:val="bottom"/>
          </w:tcPr>
          <w:p w14:paraId="7A17FA48"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37</w:t>
            </w:r>
          </w:p>
        </w:tc>
        <w:tc>
          <w:tcPr>
            <w:tcW w:w="624" w:type="dxa"/>
            <w:tcBorders>
              <w:top w:val="double" w:sz="4" w:space="0" w:color="auto"/>
              <w:left w:val="nil"/>
              <w:bottom w:val="single" w:sz="2" w:space="0" w:color="auto"/>
              <w:right w:val="nil"/>
            </w:tcBorders>
            <w:vAlign w:val="bottom"/>
          </w:tcPr>
          <w:p w14:paraId="04E98CDA"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55</w:t>
            </w:r>
          </w:p>
        </w:tc>
        <w:tc>
          <w:tcPr>
            <w:tcW w:w="624" w:type="dxa"/>
            <w:tcBorders>
              <w:top w:val="double" w:sz="4" w:space="0" w:color="auto"/>
              <w:left w:val="single" w:sz="6" w:space="0" w:color="auto"/>
              <w:bottom w:val="single" w:sz="2" w:space="0" w:color="auto"/>
              <w:right w:val="single" w:sz="6" w:space="0" w:color="auto"/>
            </w:tcBorders>
            <w:vAlign w:val="bottom"/>
          </w:tcPr>
          <w:p w14:paraId="0ECD41DE"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50</w:t>
            </w:r>
          </w:p>
        </w:tc>
        <w:tc>
          <w:tcPr>
            <w:tcW w:w="624" w:type="dxa"/>
            <w:tcBorders>
              <w:top w:val="double" w:sz="4" w:space="0" w:color="auto"/>
              <w:left w:val="nil"/>
              <w:bottom w:val="single" w:sz="2" w:space="0" w:color="auto"/>
              <w:right w:val="nil"/>
            </w:tcBorders>
            <w:vAlign w:val="bottom"/>
          </w:tcPr>
          <w:p w14:paraId="73649DBD"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16</w:t>
            </w:r>
          </w:p>
        </w:tc>
        <w:tc>
          <w:tcPr>
            <w:tcW w:w="624" w:type="dxa"/>
            <w:tcBorders>
              <w:top w:val="double" w:sz="4" w:space="0" w:color="auto"/>
              <w:left w:val="single" w:sz="6" w:space="0" w:color="auto"/>
              <w:bottom w:val="single" w:sz="2" w:space="0" w:color="auto"/>
              <w:right w:val="single" w:sz="6" w:space="0" w:color="auto"/>
            </w:tcBorders>
            <w:vAlign w:val="bottom"/>
          </w:tcPr>
          <w:p w14:paraId="76044F6C"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624" w:type="dxa"/>
            <w:tcBorders>
              <w:top w:val="double" w:sz="4" w:space="0" w:color="auto"/>
              <w:left w:val="nil"/>
              <w:bottom w:val="single" w:sz="2" w:space="0" w:color="auto"/>
              <w:right w:val="nil"/>
            </w:tcBorders>
            <w:vAlign w:val="bottom"/>
          </w:tcPr>
          <w:p w14:paraId="1E67D481"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0</w:t>
            </w:r>
          </w:p>
        </w:tc>
        <w:tc>
          <w:tcPr>
            <w:tcW w:w="737" w:type="dxa"/>
            <w:tcBorders>
              <w:top w:val="double" w:sz="4" w:space="0" w:color="auto"/>
              <w:left w:val="double" w:sz="4" w:space="0" w:color="auto"/>
              <w:bottom w:val="single" w:sz="2" w:space="0" w:color="auto"/>
              <w:right w:val="double" w:sz="6" w:space="0" w:color="auto"/>
            </w:tcBorders>
            <w:vAlign w:val="bottom"/>
          </w:tcPr>
          <w:p w14:paraId="10500C7E" w14:textId="77777777" w:rsidR="00E732EF" w:rsidRPr="00E732EF" w:rsidRDefault="00E732EF" w:rsidP="00E732EF">
            <w:pPr>
              <w:spacing w:after="0" w:line="240" w:lineRule="auto"/>
              <w:jc w:val="center"/>
              <w:rPr>
                <w:rFonts w:ascii="Arial" w:eastAsia="Arial Unicode MS" w:hAnsi="Arial" w:cs="Arial"/>
                <w:noProof/>
                <w:sz w:val="18"/>
                <w:szCs w:val="20"/>
              </w:rPr>
            </w:pPr>
            <w:r w:rsidRPr="00E732EF">
              <w:rPr>
                <w:rFonts w:ascii="Arial" w:eastAsia="Times New Roman" w:hAnsi="Arial" w:cs="Arial"/>
                <w:noProof/>
                <w:sz w:val="18"/>
                <w:szCs w:val="20"/>
              </w:rPr>
              <w:t>57</w:t>
            </w:r>
          </w:p>
        </w:tc>
      </w:tr>
      <w:tr w:rsidR="00E732EF" w:rsidRPr="00E732EF" w14:paraId="4B75E25D" w14:textId="77777777" w:rsidTr="00E732EF">
        <w:trPr>
          <w:trHeight w:hRule="exact" w:val="249"/>
          <w:jc w:val="center"/>
        </w:trPr>
        <w:tc>
          <w:tcPr>
            <w:tcW w:w="1021" w:type="dxa"/>
            <w:tcBorders>
              <w:top w:val="single" w:sz="2" w:space="0" w:color="auto"/>
              <w:left w:val="double" w:sz="6" w:space="0" w:color="auto"/>
              <w:bottom w:val="double" w:sz="6" w:space="0" w:color="auto"/>
              <w:right w:val="double" w:sz="4" w:space="0" w:color="auto"/>
            </w:tcBorders>
            <w:vAlign w:val="center"/>
          </w:tcPr>
          <w:p w14:paraId="02404BF8"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MAKS-T</w:t>
            </w:r>
            <w:r w:rsidRPr="00E732EF">
              <w:rPr>
                <w:rFonts w:ascii="Arial" w:eastAsia="Times New Roman" w:hAnsi="Arial" w:cs="Arial"/>
                <w:b/>
                <w:noProof/>
                <w:sz w:val="18"/>
                <w:szCs w:val="20"/>
                <w:vertAlign w:val="subscript"/>
              </w:rPr>
              <w:t>50</w:t>
            </w:r>
          </w:p>
        </w:tc>
        <w:tc>
          <w:tcPr>
            <w:tcW w:w="7488" w:type="dxa"/>
            <w:gridSpan w:val="12"/>
            <w:tcBorders>
              <w:top w:val="single" w:sz="2" w:space="0" w:color="auto"/>
              <w:left w:val="nil"/>
              <w:bottom w:val="double" w:sz="6" w:space="0" w:color="auto"/>
              <w:right w:val="single" w:sz="6" w:space="0" w:color="auto"/>
            </w:tcBorders>
            <w:vAlign w:val="center"/>
          </w:tcPr>
          <w:p w14:paraId="77AF11B4"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p>
        </w:tc>
        <w:tc>
          <w:tcPr>
            <w:tcW w:w="737" w:type="dxa"/>
            <w:tcBorders>
              <w:top w:val="single" w:sz="2" w:space="0" w:color="auto"/>
              <w:left w:val="double" w:sz="4" w:space="0" w:color="auto"/>
              <w:bottom w:val="double" w:sz="6" w:space="0" w:color="auto"/>
              <w:right w:val="double" w:sz="6" w:space="0" w:color="auto"/>
            </w:tcBorders>
            <w:vAlign w:val="center"/>
          </w:tcPr>
          <w:p w14:paraId="12471178"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65</w:t>
            </w:r>
          </w:p>
        </w:tc>
      </w:tr>
    </w:tbl>
    <w:p w14:paraId="0479E55A" w14:textId="77777777" w:rsidR="00E732EF" w:rsidRPr="00E732EF" w:rsidRDefault="00E732EF" w:rsidP="00E732EF">
      <w:pPr>
        <w:spacing w:after="0" w:line="240" w:lineRule="auto"/>
        <w:rPr>
          <w:rFonts w:ascii="Arial" w:eastAsia="Times New Roman" w:hAnsi="Arial" w:cs="Arial"/>
          <w:noProof/>
          <w:sz w:val="20"/>
          <w:szCs w:val="20"/>
        </w:rPr>
      </w:pPr>
    </w:p>
    <w:p w14:paraId="53605FD2"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color w:val="000000"/>
        </w:rPr>
        <w:t xml:space="preserve">Obzirom na uniformnost topografskih značajki Općine i Županije (male promjene u nadmorskoj </w:t>
      </w:r>
      <w:r w:rsidRPr="00E732EF">
        <w:rPr>
          <w:rFonts w:ascii="Times New Roman" w:eastAsia="Calibri" w:hAnsi="Times New Roman" w:cs="Times New Roman"/>
          <w:noProof/>
        </w:rPr>
        <w:t>visini), slične snježne prilike  na prostoru cijele Županije. Podjednako velik rizik od pojave snijega je u Županiji od prosinca do ožujka, a od maksimalnih visina novog snijega i snježnog pokrivača već od studenog. Pojava snijega u listopadu je izuzetno rijetka pojava bez zadržavanja na tlu, dok je u travnju rijetka pojava, ali s njom treba računati.</w:t>
      </w:r>
    </w:p>
    <w:p w14:paraId="3348E8FC" w14:textId="77777777" w:rsidR="00E732EF" w:rsidRPr="00E732EF" w:rsidRDefault="00E732EF" w:rsidP="00E732EF">
      <w:pPr>
        <w:spacing w:after="0" w:line="240" w:lineRule="auto"/>
        <w:rPr>
          <w:rFonts w:ascii="Calibri" w:eastAsia="Calibri" w:hAnsi="Calibri" w:cs="Times New Roman"/>
        </w:rPr>
      </w:pPr>
    </w:p>
    <w:p w14:paraId="0F1EE264" w14:textId="77777777" w:rsidR="00E732EF" w:rsidRPr="00E732EF" w:rsidRDefault="00E732EF" w:rsidP="00E732EF">
      <w:pPr>
        <w:rPr>
          <w:rFonts w:ascii="Times New Roman" w:eastAsia="Calibri" w:hAnsi="Times New Roman" w:cs="Times New Roman"/>
          <w:i/>
          <w:iCs/>
        </w:rPr>
      </w:pPr>
      <w:r w:rsidRPr="00E732EF">
        <w:rPr>
          <w:rFonts w:ascii="Times New Roman" w:eastAsia="Calibri" w:hAnsi="Times New Roman" w:cs="Times New Roman"/>
          <w:i/>
          <w:iCs/>
        </w:rPr>
        <w:t xml:space="preserve">Preventivne mjere radi umanjenja posljedica prirodne nepogode  </w:t>
      </w:r>
    </w:p>
    <w:p w14:paraId="2EDFDDD0"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 xml:space="preserve">Pravovremeno ugovoriti zimsko održavanje cesta  sa  davateljem  usluga na području Općine te sa istim sudjelovati u izradi Plana čišćenja prometnica ili izradi prioriteta čišćenja kao i u kontroli nabavke dostatnih sredstava za posipanje prometnica. </w:t>
      </w:r>
    </w:p>
    <w:p w14:paraId="5D4D32FA" w14:textId="77777777" w:rsidR="00E732EF" w:rsidRPr="00E732EF" w:rsidRDefault="00E732EF" w:rsidP="00E732EF">
      <w:pPr>
        <w:rPr>
          <w:rFonts w:ascii="Times New Roman" w:eastAsia="Calibri" w:hAnsi="Times New Roman" w:cs="Times New Roman"/>
          <w:i/>
          <w:iCs/>
        </w:rPr>
      </w:pPr>
      <w:r w:rsidRPr="00E732EF">
        <w:rPr>
          <w:rFonts w:ascii="Times New Roman" w:eastAsia="Calibri" w:hAnsi="Times New Roman" w:cs="Times New Roman"/>
          <w:i/>
          <w:iCs/>
        </w:rPr>
        <w:t xml:space="preserve"> Mjere za ublažavanje i otklanjanje izravnih posljedica prirodne nepogode </w:t>
      </w:r>
    </w:p>
    <w:p w14:paraId="75A9866C"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 xml:space="preserve">Mjere za ublažavanje i otklanjanje izravnih posljedica prirodne nepogode podrazumijevaju procjenu šteta i posljedica; sanaciju nastalih oštećenja i šteta. Sanacija obuhvaća aktivnosti kojima se otklanjaju posljedice prirodne nepogode, pružanje prve pomoći unesrećenima ukoliko ih je bilo te sve ostale radnje kojima se smanjuju posljedice snježnih oborina. </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005"/>
        <w:gridCol w:w="8010"/>
      </w:tblGrid>
      <w:tr w:rsidR="00E732EF" w:rsidRPr="00E732EF" w14:paraId="156BB89C" w14:textId="77777777" w:rsidTr="00E732EF">
        <w:trPr>
          <w:trHeight w:val="25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0396C2C4" w14:textId="77777777" w:rsidR="00E732EF" w:rsidRPr="00E732EF" w:rsidRDefault="00E732EF" w:rsidP="00E732EF">
            <w:pPr>
              <w:ind w:left="-23"/>
              <w:jc w:val="center"/>
              <w:rPr>
                <w:rFonts w:ascii="Times New Roman" w:eastAsia="Calibri" w:hAnsi="Times New Roman" w:cs="Times New Roman"/>
                <w:b/>
                <w:bCs/>
              </w:rPr>
            </w:pPr>
            <w:r w:rsidRPr="00E732EF">
              <w:rPr>
                <w:rFonts w:ascii="Times New Roman" w:eastAsia="Calibri" w:hAnsi="Times New Roman" w:cs="Times New Roman"/>
                <w:b/>
                <w:bCs/>
              </w:rPr>
              <w:lastRenderedPageBreak/>
              <w:t>R/br.</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49BA9179" w14:textId="77777777" w:rsidR="00E732EF" w:rsidRPr="00E732EF" w:rsidRDefault="00E732EF" w:rsidP="00E732EF">
            <w:pPr>
              <w:ind w:left="-23"/>
              <w:jc w:val="center"/>
              <w:rPr>
                <w:rFonts w:ascii="Times New Roman" w:eastAsia="Calibri" w:hAnsi="Times New Roman" w:cs="Times New Roman"/>
                <w:b/>
                <w:bCs/>
              </w:rPr>
            </w:pPr>
            <w:r w:rsidRPr="00E732EF">
              <w:rPr>
                <w:rFonts w:ascii="Times New Roman" w:eastAsia="Calibri" w:hAnsi="Times New Roman" w:cs="Times New Roman"/>
                <w:b/>
                <w:bCs/>
              </w:rPr>
              <w:t>MJERE – radnje i postupci</w:t>
            </w:r>
          </w:p>
        </w:tc>
      </w:tr>
      <w:tr w:rsidR="00E732EF" w:rsidRPr="00E732EF" w14:paraId="4531025E" w14:textId="77777777" w:rsidTr="00E732EF">
        <w:trPr>
          <w:trHeight w:val="42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6095F07E"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1.</w:t>
            </w:r>
          </w:p>
        </w:tc>
        <w:tc>
          <w:tcPr>
            <w:tcW w:w="8010" w:type="dxa"/>
            <w:tcBorders>
              <w:top w:val="single" w:sz="4" w:space="0" w:color="BFBFBF"/>
              <w:left w:val="single" w:sz="4" w:space="0" w:color="BFBFBF"/>
              <w:bottom w:val="single" w:sz="4" w:space="0" w:color="BFBFBF"/>
              <w:right w:val="single" w:sz="4" w:space="0" w:color="BFBFBF"/>
            </w:tcBorders>
            <w:hideMark/>
          </w:tcPr>
          <w:p w14:paraId="7337F7F9"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Izvještavanje župana Međimurske županije i predlaganje aktiviranja Povjerenstva za procjenu štete od elementarnih nepogoda na ugroženim područjima.</w:t>
            </w:r>
          </w:p>
        </w:tc>
      </w:tr>
      <w:tr w:rsidR="00E732EF" w:rsidRPr="00E732EF" w14:paraId="5ED90EA6" w14:textId="77777777" w:rsidTr="00E732EF">
        <w:trPr>
          <w:trHeight w:val="37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0434B42F"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2.</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74F10EFE"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Povjerenstvo nastavlja aktivnosti na popisu i procjeni štete sukladno Zakona o ublažavanju i uklanjanju posljedica prirodnih nepogoda (NN 16/19) i Pravilniku o registru šteta od prirodnih nepogoda (NN 65/19)</w:t>
            </w:r>
          </w:p>
        </w:tc>
      </w:tr>
      <w:tr w:rsidR="00E732EF" w:rsidRPr="00E732EF" w14:paraId="1A831566" w14:textId="77777777" w:rsidTr="00E732EF">
        <w:trPr>
          <w:trHeight w:val="31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4813D131"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3.</w:t>
            </w:r>
          </w:p>
        </w:tc>
        <w:tc>
          <w:tcPr>
            <w:tcW w:w="8010" w:type="dxa"/>
            <w:tcBorders>
              <w:top w:val="single" w:sz="4" w:space="0" w:color="BFBFBF"/>
              <w:left w:val="single" w:sz="4" w:space="0" w:color="BFBFBF"/>
              <w:bottom w:val="single" w:sz="4" w:space="0" w:color="BFBFBF"/>
              <w:right w:val="single" w:sz="4" w:space="0" w:color="BFBFBF"/>
            </w:tcBorders>
            <w:hideMark/>
          </w:tcPr>
          <w:p w14:paraId="3B4D2B4E"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Aktiviranje Stožera CZ Općine Sveti Juraj na Bregu – po procjeni općinskog načelnika</w:t>
            </w:r>
          </w:p>
        </w:tc>
      </w:tr>
      <w:tr w:rsidR="00E732EF" w:rsidRPr="00E732EF" w14:paraId="784C7BF2" w14:textId="77777777" w:rsidTr="00E732EF">
        <w:trPr>
          <w:trHeight w:val="37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31D8972A"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4.</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5D2BE712"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Prikupljanje informacija o prohodnosti prometnica i ugroženosti od snijega</w:t>
            </w:r>
          </w:p>
        </w:tc>
      </w:tr>
      <w:tr w:rsidR="00E732EF" w:rsidRPr="00E732EF" w14:paraId="6C6FB70A" w14:textId="77777777" w:rsidTr="00E732EF">
        <w:trPr>
          <w:trHeight w:val="28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293BEE06"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5.</w:t>
            </w:r>
          </w:p>
        </w:tc>
        <w:tc>
          <w:tcPr>
            <w:tcW w:w="8010" w:type="dxa"/>
            <w:tcBorders>
              <w:top w:val="single" w:sz="4" w:space="0" w:color="BFBFBF"/>
              <w:left w:val="single" w:sz="4" w:space="0" w:color="BFBFBF"/>
              <w:bottom w:val="single" w:sz="4" w:space="0" w:color="BFBFBF"/>
              <w:right w:val="single" w:sz="4" w:space="0" w:color="BFBFBF"/>
            </w:tcBorders>
            <w:hideMark/>
          </w:tcPr>
          <w:p w14:paraId="7B272070"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Utvrđivanje o funkcioniranju: sustava za vodoopskrbu, sustava za elektroopskrbu, sustava telekomunikacija,</w:t>
            </w:r>
          </w:p>
          <w:p w14:paraId="271454BC"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Prikupljanje  informacija o prohodnosti prometnica,</w:t>
            </w:r>
          </w:p>
          <w:p w14:paraId="52038770"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Prikupljanje informacija o stanju društvenih i stambenih objekata na prostoru.</w:t>
            </w:r>
          </w:p>
        </w:tc>
      </w:tr>
      <w:tr w:rsidR="00E732EF" w:rsidRPr="00E732EF" w14:paraId="6AC38CAA" w14:textId="77777777" w:rsidTr="00E732EF">
        <w:trPr>
          <w:trHeight w:val="36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14CDF54B"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6.</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3C47FF0F"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Aktiviranje VZ Općine sa 5 DVD-a i komunalnih operatera te drugih operativnih snaga CZ</w:t>
            </w:r>
          </w:p>
          <w:p w14:paraId="3110C0DC"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Javni poziv Stožera CZ pučanstvu za izvršavanje komunalnih obaveza u čišćenju snijega</w:t>
            </w:r>
          </w:p>
        </w:tc>
      </w:tr>
      <w:tr w:rsidR="00E732EF" w:rsidRPr="00E732EF" w14:paraId="1D531EB3" w14:textId="77777777" w:rsidTr="00E732EF">
        <w:trPr>
          <w:trHeight w:val="25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6AF8404E"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7.</w:t>
            </w:r>
          </w:p>
        </w:tc>
        <w:tc>
          <w:tcPr>
            <w:tcW w:w="8010" w:type="dxa"/>
            <w:tcBorders>
              <w:top w:val="single" w:sz="4" w:space="0" w:color="BFBFBF"/>
              <w:left w:val="single" w:sz="4" w:space="0" w:color="BFBFBF"/>
              <w:bottom w:val="single" w:sz="4" w:space="0" w:color="BFBFBF"/>
              <w:right w:val="single" w:sz="4" w:space="0" w:color="BFBFBF"/>
            </w:tcBorders>
            <w:hideMark/>
          </w:tcPr>
          <w:p w14:paraId="50C7D56A"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Utvrđivanje redoslijeda u smislu stavljanja u potpunu funkciju telekomunikacija i  opskrbu električnom energijom po prioritetima koje utvrdi Stožer CZ</w:t>
            </w:r>
          </w:p>
        </w:tc>
      </w:tr>
      <w:tr w:rsidR="00E732EF" w:rsidRPr="00E732EF" w14:paraId="6F72F9FC" w14:textId="77777777" w:rsidTr="00E732EF">
        <w:trPr>
          <w:trHeight w:val="18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18CD6EAE"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8.</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1C1BBECA"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Utvrđivanje redoslijeda u smislu stavljanja u potpunu funkciju prometnica na području Općine sljedećim prioritetom: 1. Županijske ceste  2. Lokalne ceste</w:t>
            </w:r>
          </w:p>
        </w:tc>
      </w:tr>
      <w:tr w:rsidR="00E732EF" w:rsidRPr="00E732EF" w14:paraId="637E9896" w14:textId="77777777" w:rsidTr="00E732EF">
        <w:trPr>
          <w:trHeight w:val="30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28ED3800"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9.</w:t>
            </w:r>
          </w:p>
        </w:tc>
        <w:tc>
          <w:tcPr>
            <w:tcW w:w="8010" w:type="dxa"/>
            <w:tcBorders>
              <w:top w:val="single" w:sz="4" w:space="0" w:color="BFBFBF"/>
              <w:left w:val="single" w:sz="4" w:space="0" w:color="BFBFBF"/>
              <w:bottom w:val="single" w:sz="4" w:space="0" w:color="BFBFBF"/>
              <w:right w:val="single" w:sz="4" w:space="0" w:color="BFBFBF"/>
            </w:tcBorders>
            <w:hideMark/>
          </w:tcPr>
          <w:p w14:paraId="2F8A30CB"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Utvrđivanje redoslijeda u smislu privremene  sanacije oštećenja slijedećih  objekata</w:t>
            </w:r>
          </w:p>
        </w:tc>
      </w:tr>
      <w:tr w:rsidR="00E732EF" w:rsidRPr="00E732EF" w14:paraId="7BC8B90E" w14:textId="77777777" w:rsidTr="00E732EF">
        <w:trPr>
          <w:trHeight w:val="176"/>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0AB09F37"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10.</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34D8C9F6"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Pozivanje vlasnika poduzeća i obrta koji se bave takvom vrstom djelatnosti koja može izvršiti privremenu sanaciju štete</w:t>
            </w:r>
          </w:p>
        </w:tc>
      </w:tr>
      <w:tr w:rsidR="00E732EF" w:rsidRPr="00E732EF" w14:paraId="254C281F" w14:textId="77777777" w:rsidTr="00E732EF">
        <w:trPr>
          <w:trHeight w:val="206"/>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5E70545B"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11.</w:t>
            </w:r>
          </w:p>
        </w:tc>
        <w:tc>
          <w:tcPr>
            <w:tcW w:w="8010" w:type="dxa"/>
            <w:tcBorders>
              <w:top w:val="single" w:sz="4" w:space="0" w:color="BFBFBF"/>
              <w:left w:val="single" w:sz="4" w:space="0" w:color="BFBFBF"/>
              <w:bottom w:val="single" w:sz="4" w:space="0" w:color="BFBFBF"/>
              <w:right w:val="single" w:sz="4" w:space="0" w:color="BFBFBF"/>
            </w:tcBorders>
            <w:hideMark/>
          </w:tcPr>
          <w:p w14:paraId="16611415"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Povjerenstvo Općine nastavlja aktivnosti na popisu i procjeni štete sukladno Zakonu te o rezultatima izvješćuje Međimursku županiju. </w:t>
            </w:r>
          </w:p>
        </w:tc>
      </w:tr>
    </w:tbl>
    <w:p w14:paraId="75ABF377"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t xml:space="preserve"> </w:t>
      </w:r>
    </w:p>
    <w:p w14:paraId="60A82400" w14:textId="77777777" w:rsidR="00E732EF" w:rsidRPr="00E732EF" w:rsidRDefault="00E732EF" w:rsidP="00E732EF">
      <w:pPr>
        <w:rPr>
          <w:rFonts w:ascii="Times New Roman" w:eastAsia="Calibri" w:hAnsi="Times New Roman" w:cs="Times New Roman"/>
          <w:b/>
          <w:bCs/>
        </w:rPr>
      </w:pPr>
      <w:r w:rsidRPr="00E732EF">
        <w:rPr>
          <w:rFonts w:ascii="Times New Roman" w:eastAsia="Calibri" w:hAnsi="Times New Roman" w:cs="Times New Roman"/>
        </w:rPr>
        <w:t xml:space="preserve">2.1.4.  </w:t>
      </w:r>
      <w:r w:rsidRPr="00E732EF">
        <w:rPr>
          <w:rFonts w:ascii="Times New Roman" w:eastAsia="Calibri" w:hAnsi="Times New Roman" w:cs="Times New Roman"/>
          <w:b/>
          <w:bCs/>
        </w:rPr>
        <w:t xml:space="preserve">POLEDICE </w:t>
      </w:r>
    </w:p>
    <w:p w14:paraId="2D79F2F0"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Pojava zaleđenih kolnika može biti uzrokovana meteorološkim pojavama ledene kiše, poledice i površinskog leda (zaleđeno i klizavo tlo). To su izvanredne meteorološke pojave koje u hladno doba godine ugrožavaju promet i ljudsko zdravlje, a u motriteljskoj praksi opažaju se i bilježe.</w:t>
      </w:r>
    </w:p>
    <w:p w14:paraId="3A6999FC"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Ledena kiša odnosi se na kišu sačinjenu od prehladnih kapljica koje se u doticaju s hladnim predmetima i tlom zamrzavaju, te tvore glatku ledenu koru na zemlji meteorološkog naziva poledica. Ta poledica kao meteorološka pojava se ne smije zamijeniti s površinskim ledom koji pokriva tlo te nastaje otapanjem snijega i stvaranjem ledene kore ili smrzavanjem kišnih barica. Opisane pojave vezane uz zaleđivanje kolnika u daljnjem tekstu će se nazivati zajedničkim imenom poledica.</w:t>
      </w:r>
    </w:p>
    <w:p w14:paraId="00452640"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 xml:space="preserve">Samo opažanje navedenih meteoroloških pojava, ograničeno na meteorološke postaje, za potrebe procjene ugroženosti od poledice nije dovoljno. Potreban je općeniti kvantitativni kriterij izražen pomoću mjerljivih veličina koji će odrediti potencijalne uvjete za pojavu svih uzroka zaleđenih kolnika na širem području. Povoljni, odnosno potencijalni meteorološki uvjeti za stvaranje poledice pri tlu pojavljuju se u onim danima kada se javlja oborina (oborinski dani s dnevnom količinom oborine Rd ≥ 0.1 mm) i temperatura zraka je pri tlu </w:t>
      </w:r>
      <w:r w:rsidRPr="00E732EF">
        <w:rPr>
          <w:rFonts w:ascii="Times New Roman" w:eastAsia="Calibri" w:hAnsi="Times New Roman" w:cs="Times New Roman"/>
          <w:noProof/>
        </w:rPr>
        <w:sym w:font="Symbol" w:char="F0A3"/>
      </w:r>
      <w:r w:rsidRPr="00E732EF">
        <w:rPr>
          <w:rFonts w:ascii="Times New Roman" w:eastAsia="Calibri" w:hAnsi="Times New Roman" w:cs="Times New Roman"/>
          <w:noProof/>
        </w:rPr>
        <w:t xml:space="preserve"> 0 ºC odnosno na 2 m </w:t>
      </w:r>
      <w:r w:rsidRPr="00E732EF">
        <w:rPr>
          <w:rFonts w:ascii="Times New Roman" w:eastAsia="Calibri" w:hAnsi="Times New Roman" w:cs="Times New Roman"/>
          <w:noProof/>
        </w:rPr>
        <w:sym w:font="Symbol" w:char="F0A3"/>
      </w:r>
      <w:r w:rsidRPr="00E732EF">
        <w:rPr>
          <w:rFonts w:ascii="Times New Roman" w:eastAsia="Calibri" w:hAnsi="Times New Roman" w:cs="Times New Roman"/>
          <w:noProof/>
        </w:rPr>
        <w:t xml:space="preserve"> 3 ºC. Potonji kriterij dobiven je istraživanjem odnosa temperatura zraka na 2 m visine (standardna meteorološka kućica) i pri tlu (na 5 cm iznad tla) i primjenjuje se za lokacije gdje nema mjerenja temperatura zraka pri tlu. U ovoj meteorološkoj podlozi za procjenu ugroženosti analizirat će se godišnji hod broja takvih dana kao pokazatelj najugroženijih mjeseci s obzirom na pojavu poledice.</w:t>
      </w:r>
    </w:p>
    <w:p w14:paraId="77D92696"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 xml:space="preserve">Sinoptičke situacije pri kojima se najčešće ostvaruju povoljni uvjeti za nastanak poledice, odnosno zaleđenih kolnika, javljaju se od jeseni do proljeća. U kasnu jesen, početkom zime i u rano proljeće karakteristično je premještanje brzo pokretnih ciklonalnih i frontalnih sustava sa sjeverozapada ili jugozapada. Takvi sustavi često su praćeni naglim promjenama vremena. Pri nailasku sustava javlja se oborina i pritječe topliji zrak, a nakon prolaska sustava oborina prestaje, a temperatura se snižava. Pad temperature može dovesti do smrzavanja oborine i pojave zaleđivanja kolnika. S druge strane, u jesen i </w:t>
      </w:r>
      <w:r w:rsidRPr="00E732EF">
        <w:rPr>
          <w:rFonts w:ascii="Times New Roman" w:eastAsia="Calibri" w:hAnsi="Times New Roman" w:cs="Times New Roman"/>
          <w:noProof/>
        </w:rPr>
        <w:lastRenderedPageBreak/>
        <w:t>kasnoj zimi učestalo se javljaju stacionarni anticiklonalni tipovi vremena sa slabim strujanjem. U kontinentalnom nizinskom dijelu tada prevladava vedro ili maglovito vrijeme (često i niska slojevita naoblaka), dok je na Jadranu i u gorju sunčano i vedro. Pri anticiklonalnom tipu vremena mala je turbulentna razmjena zraka i stabilna stratifikacija atmosfere, pa se u nizinama zrak postupno ohlađuje. U slučaju da ovakva situacija nastupa nakon premještanja nekog oborinskog sustava, niske temperature tada dovode do smrzavanja prethodno pale oborine i pojave zaleđenih kolnika. Takve situacije iziskuju posebne analize i nisu obuhvaćene ovim prikazom. Stoga je učestalost poledice na cestama vjerojatno nešto veća od prikazanih rezultata.</w:t>
      </w:r>
    </w:p>
    <w:p w14:paraId="60AA3151"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Za Općinu Sveti Juraj na Bregu i Međimursku županiju odabrane su meteorološka postaja Čakovec.</w:t>
      </w:r>
    </w:p>
    <w:p w14:paraId="7C32DD25"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Godišnji prosjek je 42 povoljna dana za poledicu, maksimalno je zabilježeno 66, 1985., a minimalno 21 dan 1983. godine.</w:t>
      </w:r>
    </w:p>
    <w:p w14:paraId="465AC3C9"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Tablica 4: Godišnjih hod odabranog meteorološkog parametra (Sv.Juraj na Bregu), 1995.-2005.godine</w:t>
      </w:r>
    </w:p>
    <w:tbl>
      <w:tblPr>
        <w:tblW w:w="9246" w:type="dxa"/>
        <w:jc w:val="center"/>
        <w:tblBorders>
          <w:top w:val="single" w:sz="18" w:space="0" w:color="auto"/>
          <w:left w:val="single" w:sz="18" w:space="0" w:color="auto"/>
          <w:bottom w:val="single" w:sz="18" w:space="0" w:color="auto"/>
          <w:right w:val="single" w:sz="18" w:space="0" w:color="auto"/>
        </w:tblBorders>
        <w:tblLayout w:type="fixed"/>
        <w:tblCellMar>
          <w:left w:w="0" w:type="dxa"/>
          <w:right w:w="0" w:type="dxa"/>
        </w:tblCellMar>
        <w:tblLook w:val="0000" w:firstRow="0" w:lastRow="0" w:firstColumn="0" w:lastColumn="0" w:noHBand="0" w:noVBand="0"/>
      </w:tblPr>
      <w:tblGrid>
        <w:gridCol w:w="1021"/>
        <w:gridCol w:w="624"/>
        <w:gridCol w:w="624"/>
        <w:gridCol w:w="624"/>
        <w:gridCol w:w="624"/>
        <w:gridCol w:w="624"/>
        <w:gridCol w:w="624"/>
        <w:gridCol w:w="624"/>
        <w:gridCol w:w="624"/>
        <w:gridCol w:w="624"/>
        <w:gridCol w:w="624"/>
        <w:gridCol w:w="624"/>
        <w:gridCol w:w="624"/>
        <w:gridCol w:w="737"/>
      </w:tblGrid>
      <w:tr w:rsidR="00E732EF" w:rsidRPr="00E732EF" w14:paraId="4F9096B6" w14:textId="77777777" w:rsidTr="00E732EF">
        <w:trPr>
          <w:trHeight w:hRule="exact" w:val="340"/>
          <w:jc w:val="center"/>
        </w:trPr>
        <w:tc>
          <w:tcPr>
            <w:tcW w:w="1021" w:type="dxa"/>
            <w:tcBorders>
              <w:top w:val="double" w:sz="4" w:space="0" w:color="auto"/>
              <w:left w:val="double" w:sz="6" w:space="0" w:color="auto"/>
              <w:bottom w:val="double" w:sz="6" w:space="0" w:color="auto"/>
              <w:right w:val="double" w:sz="4" w:space="0" w:color="auto"/>
            </w:tcBorders>
            <w:vAlign w:val="center"/>
          </w:tcPr>
          <w:p w14:paraId="2315CCDD"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MJESECI</w:t>
            </w:r>
          </w:p>
        </w:tc>
        <w:tc>
          <w:tcPr>
            <w:tcW w:w="624" w:type="dxa"/>
            <w:tcBorders>
              <w:top w:val="double" w:sz="4" w:space="0" w:color="auto"/>
              <w:left w:val="nil"/>
              <w:bottom w:val="double" w:sz="6" w:space="0" w:color="auto"/>
              <w:right w:val="single" w:sz="6" w:space="0" w:color="auto"/>
            </w:tcBorders>
            <w:vAlign w:val="center"/>
          </w:tcPr>
          <w:p w14:paraId="166101C5"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1</w:t>
            </w:r>
          </w:p>
        </w:tc>
        <w:tc>
          <w:tcPr>
            <w:tcW w:w="624" w:type="dxa"/>
            <w:tcBorders>
              <w:top w:val="double" w:sz="4" w:space="0" w:color="auto"/>
              <w:left w:val="nil"/>
              <w:bottom w:val="double" w:sz="6" w:space="0" w:color="auto"/>
              <w:right w:val="nil"/>
            </w:tcBorders>
            <w:vAlign w:val="center"/>
          </w:tcPr>
          <w:p w14:paraId="228DA0FC"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2</w:t>
            </w:r>
          </w:p>
        </w:tc>
        <w:tc>
          <w:tcPr>
            <w:tcW w:w="624" w:type="dxa"/>
            <w:tcBorders>
              <w:top w:val="double" w:sz="4" w:space="0" w:color="auto"/>
              <w:left w:val="single" w:sz="6" w:space="0" w:color="auto"/>
              <w:bottom w:val="double" w:sz="6" w:space="0" w:color="auto"/>
              <w:right w:val="single" w:sz="6" w:space="0" w:color="auto"/>
            </w:tcBorders>
            <w:vAlign w:val="center"/>
          </w:tcPr>
          <w:p w14:paraId="2E65A2CA"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3</w:t>
            </w:r>
          </w:p>
        </w:tc>
        <w:tc>
          <w:tcPr>
            <w:tcW w:w="624" w:type="dxa"/>
            <w:tcBorders>
              <w:top w:val="double" w:sz="4" w:space="0" w:color="auto"/>
              <w:left w:val="nil"/>
              <w:bottom w:val="double" w:sz="6" w:space="0" w:color="auto"/>
              <w:right w:val="nil"/>
            </w:tcBorders>
            <w:vAlign w:val="center"/>
          </w:tcPr>
          <w:p w14:paraId="0C22DE8D"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4</w:t>
            </w:r>
          </w:p>
        </w:tc>
        <w:tc>
          <w:tcPr>
            <w:tcW w:w="624" w:type="dxa"/>
            <w:tcBorders>
              <w:top w:val="double" w:sz="4" w:space="0" w:color="auto"/>
              <w:left w:val="single" w:sz="6" w:space="0" w:color="auto"/>
              <w:bottom w:val="double" w:sz="6" w:space="0" w:color="auto"/>
              <w:right w:val="single" w:sz="6" w:space="0" w:color="auto"/>
            </w:tcBorders>
            <w:vAlign w:val="center"/>
          </w:tcPr>
          <w:p w14:paraId="30C07F6C"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5</w:t>
            </w:r>
          </w:p>
        </w:tc>
        <w:tc>
          <w:tcPr>
            <w:tcW w:w="624" w:type="dxa"/>
            <w:tcBorders>
              <w:top w:val="double" w:sz="4" w:space="0" w:color="auto"/>
              <w:left w:val="nil"/>
              <w:bottom w:val="double" w:sz="6" w:space="0" w:color="auto"/>
              <w:right w:val="nil"/>
            </w:tcBorders>
            <w:vAlign w:val="center"/>
          </w:tcPr>
          <w:p w14:paraId="63E50E8D"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6</w:t>
            </w:r>
          </w:p>
        </w:tc>
        <w:tc>
          <w:tcPr>
            <w:tcW w:w="624" w:type="dxa"/>
            <w:tcBorders>
              <w:top w:val="double" w:sz="4" w:space="0" w:color="auto"/>
              <w:left w:val="single" w:sz="6" w:space="0" w:color="auto"/>
              <w:bottom w:val="double" w:sz="6" w:space="0" w:color="auto"/>
              <w:right w:val="single" w:sz="6" w:space="0" w:color="auto"/>
            </w:tcBorders>
            <w:vAlign w:val="center"/>
          </w:tcPr>
          <w:p w14:paraId="656C1987"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7</w:t>
            </w:r>
          </w:p>
        </w:tc>
        <w:tc>
          <w:tcPr>
            <w:tcW w:w="624" w:type="dxa"/>
            <w:tcBorders>
              <w:top w:val="double" w:sz="4" w:space="0" w:color="auto"/>
              <w:left w:val="nil"/>
              <w:bottom w:val="double" w:sz="6" w:space="0" w:color="auto"/>
              <w:right w:val="nil"/>
            </w:tcBorders>
            <w:vAlign w:val="center"/>
          </w:tcPr>
          <w:p w14:paraId="7F1C35DE"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8</w:t>
            </w:r>
          </w:p>
        </w:tc>
        <w:tc>
          <w:tcPr>
            <w:tcW w:w="624" w:type="dxa"/>
            <w:tcBorders>
              <w:top w:val="double" w:sz="4" w:space="0" w:color="auto"/>
              <w:left w:val="single" w:sz="6" w:space="0" w:color="auto"/>
              <w:bottom w:val="double" w:sz="6" w:space="0" w:color="auto"/>
              <w:right w:val="single" w:sz="6" w:space="0" w:color="auto"/>
            </w:tcBorders>
            <w:vAlign w:val="center"/>
          </w:tcPr>
          <w:p w14:paraId="784B8014"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9</w:t>
            </w:r>
          </w:p>
        </w:tc>
        <w:tc>
          <w:tcPr>
            <w:tcW w:w="624" w:type="dxa"/>
            <w:tcBorders>
              <w:top w:val="double" w:sz="4" w:space="0" w:color="auto"/>
              <w:left w:val="nil"/>
              <w:bottom w:val="double" w:sz="6" w:space="0" w:color="auto"/>
              <w:right w:val="nil"/>
            </w:tcBorders>
            <w:vAlign w:val="center"/>
          </w:tcPr>
          <w:p w14:paraId="037D77FB"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10</w:t>
            </w:r>
          </w:p>
        </w:tc>
        <w:tc>
          <w:tcPr>
            <w:tcW w:w="624" w:type="dxa"/>
            <w:tcBorders>
              <w:top w:val="double" w:sz="4" w:space="0" w:color="auto"/>
              <w:left w:val="single" w:sz="6" w:space="0" w:color="auto"/>
              <w:bottom w:val="double" w:sz="6" w:space="0" w:color="auto"/>
              <w:right w:val="single" w:sz="6" w:space="0" w:color="auto"/>
            </w:tcBorders>
            <w:vAlign w:val="center"/>
          </w:tcPr>
          <w:p w14:paraId="7F707D45"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11</w:t>
            </w:r>
          </w:p>
        </w:tc>
        <w:tc>
          <w:tcPr>
            <w:tcW w:w="624" w:type="dxa"/>
            <w:tcBorders>
              <w:top w:val="double" w:sz="4" w:space="0" w:color="auto"/>
              <w:left w:val="nil"/>
              <w:bottom w:val="double" w:sz="6" w:space="0" w:color="auto"/>
              <w:right w:val="nil"/>
            </w:tcBorders>
            <w:vAlign w:val="center"/>
          </w:tcPr>
          <w:p w14:paraId="1982BCE6"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12</w:t>
            </w:r>
          </w:p>
        </w:tc>
        <w:tc>
          <w:tcPr>
            <w:tcW w:w="737" w:type="dxa"/>
            <w:tcBorders>
              <w:top w:val="double" w:sz="4" w:space="0" w:color="auto"/>
              <w:left w:val="double" w:sz="4" w:space="0" w:color="auto"/>
              <w:bottom w:val="double" w:sz="6" w:space="0" w:color="auto"/>
              <w:right w:val="double" w:sz="6" w:space="0" w:color="auto"/>
            </w:tcBorders>
            <w:vAlign w:val="center"/>
          </w:tcPr>
          <w:p w14:paraId="47958EB5"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GOD</w:t>
            </w:r>
          </w:p>
        </w:tc>
      </w:tr>
      <w:tr w:rsidR="00E732EF" w:rsidRPr="00E732EF" w14:paraId="0EE1CED5" w14:textId="77777777" w:rsidTr="00E732EF">
        <w:trPr>
          <w:trHeight w:val="249"/>
          <w:jc w:val="center"/>
        </w:trPr>
        <w:tc>
          <w:tcPr>
            <w:tcW w:w="9246" w:type="dxa"/>
            <w:gridSpan w:val="14"/>
            <w:tcBorders>
              <w:top w:val="double" w:sz="4" w:space="0" w:color="auto"/>
              <w:left w:val="double" w:sz="6" w:space="0" w:color="auto"/>
              <w:bottom w:val="single" w:sz="2" w:space="0" w:color="auto"/>
              <w:right w:val="double" w:sz="6" w:space="0" w:color="auto"/>
            </w:tcBorders>
            <w:shd w:val="clear" w:color="auto" w:fill="DBE5F1"/>
            <w:vAlign w:val="center"/>
          </w:tcPr>
          <w:p w14:paraId="78F29F9A" w14:textId="77777777" w:rsidR="00E732EF" w:rsidRPr="00E732EF" w:rsidRDefault="00E732EF" w:rsidP="00E732EF">
            <w:pPr>
              <w:spacing w:after="0" w:line="240" w:lineRule="auto"/>
              <w:jc w:val="center"/>
              <w:rPr>
                <w:rFonts w:ascii="Arial" w:eastAsia="Times New Roman" w:hAnsi="Arial" w:cs="Arial"/>
                <w:b/>
                <w:noProof/>
                <w:snapToGrid w:val="0"/>
                <w:color w:val="FF00FF"/>
                <w:sz w:val="18"/>
                <w:szCs w:val="20"/>
              </w:rPr>
            </w:pPr>
            <w:r w:rsidRPr="00E732EF">
              <w:rPr>
                <w:rFonts w:ascii="Arial" w:eastAsia="Times New Roman" w:hAnsi="Arial" w:cs="Arial"/>
                <w:b/>
                <w:noProof/>
                <w:snapToGrid w:val="0"/>
                <w:color w:val="000000"/>
                <w:sz w:val="18"/>
                <w:szCs w:val="20"/>
              </w:rPr>
              <w:t xml:space="preserve">BROJ DANA S POLEDICOM </w:t>
            </w:r>
            <w:r w:rsidRPr="00E732EF">
              <w:rPr>
                <w:rFonts w:ascii="Arial" w:eastAsia="Times New Roman" w:hAnsi="Arial" w:cs="Arial"/>
                <w:b/>
                <w:noProof/>
                <w:snapToGrid w:val="0"/>
                <w:sz w:val="18"/>
                <w:szCs w:val="20"/>
              </w:rPr>
              <w:t>(R</w:t>
            </w:r>
            <w:r w:rsidRPr="00E732EF">
              <w:rPr>
                <w:rFonts w:ascii="Arial" w:eastAsia="Times New Roman" w:hAnsi="Arial" w:cs="Arial"/>
                <w:b/>
                <w:noProof/>
                <w:snapToGrid w:val="0"/>
                <w:sz w:val="18"/>
                <w:szCs w:val="20"/>
                <w:vertAlign w:val="subscript"/>
              </w:rPr>
              <w:t>d</w:t>
            </w:r>
            <w:r w:rsidRPr="00E732EF">
              <w:rPr>
                <w:rFonts w:ascii="Arial" w:eastAsia="Times New Roman" w:hAnsi="Arial" w:cs="Arial"/>
                <w:b/>
                <w:noProof/>
                <w:snapToGrid w:val="0"/>
                <w:sz w:val="18"/>
                <w:szCs w:val="20"/>
              </w:rPr>
              <w:t>≥0.1mm i t</w:t>
            </w:r>
            <w:r w:rsidRPr="00E732EF">
              <w:rPr>
                <w:rFonts w:ascii="Arial" w:eastAsia="Times New Roman" w:hAnsi="Arial" w:cs="Arial"/>
                <w:b/>
                <w:noProof/>
                <w:snapToGrid w:val="0"/>
                <w:sz w:val="18"/>
                <w:szCs w:val="20"/>
                <w:vertAlign w:val="subscript"/>
              </w:rPr>
              <w:t>min2m</w:t>
            </w:r>
            <w:r w:rsidRPr="00E732EF">
              <w:rPr>
                <w:rFonts w:ascii="Arial" w:eastAsia="Times New Roman" w:hAnsi="Arial" w:cs="Arial"/>
                <w:b/>
                <w:noProof/>
                <w:snapToGrid w:val="0"/>
                <w:sz w:val="18"/>
                <w:szCs w:val="20"/>
              </w:rPr>
              <w:sym w:font="Symbol" w:char="00A3"/>
            </w:r>
            <w:r w:rsidRPr="00E732EF">
              <w:rPr>
                <w:rFonts w:ascii="Arial" w:eastAsia="Times New Roman" w:hAnsi="Arial" w:cs="Arial"/>
                <w:b/>
                <w:noProof/>
                <w:snapToGrid w:val="0"/>
                <w:sz w:val="18"/>
                <w:szCs w:val="20"/>
              </w:rPr>
              <w:t>3.0°C)</w:t>
            </w:r>
          </w:p>
        </w:tc>
      </w:tr>
      <w:tr w:rsidR="00E732EF" w:rsidRPr="00E732EF" w14:paraId="271A9A9D" w14:textId="77777777" w:rsidTr="00E732EF">
        <w:trPr>
          <w:trHeight w:val="249"/>
          <w:jc w:val="center"/>
        </w:trPr>
        <w:tc>
          <w:tcPr>
            <w:tcW w:w="1021" w:type="dxa"/>
            <w:tcBorders>
              <w:top w:val="double" w:sz="4" w:space="0" w:color="auto"/>
              <w:left w:val="double" w:sz="6" w:space="0" w:color="auto"/>
              <w:bottom w:val="single" w:sz="2" w:space="0" w:color="auto"/>
              <w:right w:val="double" w:sz="4" w:space="0" w:color="auto"/>
            </w:tcBorders>
            <w:vAlign w:val="center"/>
          </w:tcPr>
          <w:p w14:paraId="07C88CD6"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SRED</w:t>
            </w:r>
          </w:p>
        </w:tc>
        <w:tc>
          <w:tcPr>
            <w:tcW w:w="624" w:type="dxa"/>
            <w:tcBorders>
              <w:top w:val="double" w:sz="4" w:space="0" w:color="auto"/>
              <w:left w:val="nil"/>
              <w:bottom w:val="single" w:sz="2" w:space="0" w:color="auto"/>
              <w:right w:val="single" w:sz="6" w:space="0" w:color="auto"/>
            </w:tcBorders>
            <w:vAlign w:val="bottom"/>
          </w:tcPr>
          <w:p w14:paraId="33CF9DD9"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6.8</w:t>
            </w:r>
          </w:p>
        </w:tc>
        <w:tc>
          <w:tcPr>
            <w:tcW w:w="624" w:type="dxa"/>
            <w:tcBorders>
              <w:top w:val="double" w:sz="4" w:space="0" w:color="auto"/>
              <w:left w:val="nil"/>
              <w:bottom w:val="single" w:sz="2" w:space="0" w:color="auto"/>
              <w:right w:val="nil"/>
            </w:tcBorders>
            <w:vAlign w:val="bottom"/>
          </w:tcPr>
          <w:p w14:paraId="3EE758D6"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6.3</w:t>
            </w:r>
          </w:p>
        </w:tc>
        <w:tc>
          <w:tcPr>
            <w:tcW w:w="624" w:type="dxa"/>
            <w:tcBorders>
              <w:top w:val="double" w:sz="4" w:space="0" w:color="auto"/>
              <w:left w:val="single" w:sz="6" w:space="0" w:color="auto"/>
              <w:bottom w:val="single" w:sz="2" w:space="0" w:color="auto"/>
              <w:right w:val="single" w:sz="6" w:space="0" w:color="auto"/>
            </w:tcBorders>
            <w:vAlign w:val="bottom"/>
          </w:tcPr>
          <w:p w14:paraId="4C47DCC3"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6.7</w:t>
            </w:r>
          </w:p>
        </w:tc>
        <w:tc>
          <w:tcPr>
            <w:tcW w:w="624" w:type="dxa"/>
            <w:tcBorders>
              <w:top w:val="double" w:sz="4" w:space="0" w:color="auto"/>
              <w:left w:val="nil"/>
              <w:bottom w:val="single" w:sz="2" w:space="0" w:color="auto"/>
              <w:right w:val="nil"/>
            </w:tcBorders>
            <w:vAlign w:val="bottom"/>
          </w:tcPr>
          <w:p w14:paraId="7BED0891"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3.5</w:t>
            </w:r>
          </w:p>
        </w:tc>
        <w:tc>
          <w:tcPr>
            <w:tcW w:w="624" w:type="dxa"/>
            <w:tcBorders>
              <w:top w:val="double" w:sz="4" w:space="0" w:color="auto"/>
              <w:left w:val="single" w:sz="6" w:space="0" w:color="auto"/>
              <w:bottom w:val="single" w:sz="2" w:space="0" w:color="auto"/>
              <w:right w:val="single" w:sz="6" w:space="0" w:color="auto"/>
            </w:tcBorders>
            <w:vAlign w:val="bottom"/>
          </w:tcPr>
          <w:p w14:paraId="4F6E99D0"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0.4</w:t>
            </w:r>
          </w:p>
        </w:tc>
        <w:tc>
          <w:tcPr>
            <w:tcW w:w="624" w:type="dxa"/>
            <w:tcBorders>
              <w:top w:val="double" w:sz="4" w:space="0" w:color="auto"/>
              <w:left w:val="nil"/>
              <w:bottom w:val="single" w:sz="2" w:space="0" w:color="auto"/>
              <w:right w:val="nil"/>
            </w:tcBorders>
            <w:vAlign w:val="bottom"/>
          </w:tcPr>
          <w:p w14:paraId="610F9335"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0.0</w:t>
            </w:r>
          </w:p>
        </w:tc>
        <w:tc>
          <w:tcPr>
            <w:tcW w:w="624" w:type="dxa"/>
            <w:tcBorders>
              <w:top w:val="double" w:sz="4" w:space="0" w:color="auto"/>
              <w:left w:val="single" w:sz="6" w:space="0" w:color="auto"/>
              <w:bottom w:val="single" w:sz="2" w:space="0" w:color="auto"/>
              <w:right w:val="single" w:sz="6" w:space="0" w:color="auto"/>
            </w:tcBorders>
            <w:vAlign w:val="bottom"/>
          </w:tcPr>
          <w:p w14:paraId="2D8F3F82"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0.0</w:t>
            </w:r>
          </w:p>
        </w:tc>
        <w:tc>
          <w:tcPr>
            <w:tcW w:w="624" w:type="dxa"/>
            <w:tcBorders>
              <w:top w:val="double" w:sz="4" w:space="0" w:color="auto"/>
              <w:left w:val="nil"/>
              <w:bottom w:val="single" w:sz="2" w:space="0" w:color="auto"/>
              <w:right w:val="nil"/>
            </w:tcBorders>
            <w:vAlign w:val="bottom"/>
          </w:tcPr>
          <w:p w14:paraId="6B841D3D"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0.0</w:t>
            </w:r>
          </w:p>
        </w:tc>
        <w:tc>
          <w:tcPr>
            <w:tcW w:w="624" w:type="dxa"/>
            <w:tcBorders>
              <w:top w:val="double" w:sz="4" w:space="0" w:color="auto"/>
              <w:left w:val="single" w:sz="6" w:space="0" w:color="auto"/>
              <w:bottom w:val="single" w:sz="2" w:space="0" w:color="auto"/>
              <w:right w:val="single" w:sz="6" w:space="0" w:color="auto"/>
            </w:tcBorders>
            <w:vAlign w:val="bottom"/>
          </w:tcPr>
          <w:p w14:paraId="4662A425"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0.2</w:t>
            </w:r>
          </w:p>
        </w:tc>
        <w:tc>
          <w:tcPr>
            <w:tcW w:w="624" w:type="dxa"/>
            <w:tcBorders>
              <w:top w:val="double" w:sz="4" w:space="0" w:color="auto"/>
              <w:left w:val="nil"/>
              <w:bottom w:val="single" w:sz="2" w:space="0" w:color="auto"/>
              <w:right w:val="nil"/>
            </w:tcBorders>
            <w:vAlign w:val="bottom"/>
          </w:tcPr>
          <w:p w14:paraId="51400A5D"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1.6</w:t>
            </w:r>
          </w:p>
        </w:tc>
        <w:tc>
          <w:tcPr>
            <w:tcW w:w="624" w:type="dxa"/>
            <w:tcBorders>
              <w:top w:val="double" w:sz="4" w:space="0" w:color="auto"/>
              <w:left w:val="single" w:sz="6" w:space="0" w:color="auto"/>
              <w:bottom w:val="single" w:sz="2" w:space="0" w:color="auto"/>
              <w:right w:val="single" w:sz="6" w:space="0" w:color="auto"/>
            </w:tcBorders>
            <w:vAlign w:val="bottom"/>
          </w:tcPr>
          <w:p w14:paraId="20DA7358"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6.6</w:t>
            </w:r>
          </w:p>
        </w:tc>
        <w:tc>
          <w:tcPr>
            <w:tcW w:w="624" w:type="dxa"/>
            <w:tcBorders>
              <w:top w:val="double" w:sz="4" w:space="0" w:color="auto"/>
              <w:left w:val="nil"/>
              <w:bottom w:val="single" w:sz="2" w:space="0" w:color="auto"/>
              <w:right w:val="nil"/>
            </w:tcBorders>
            <w:vAlign w:val="bottom"/>
          </w:tcPr>
          <w:p w14:paraId="7787BD79"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8.9</w:t>
            </w:r>
          </w:p>
        </w:tc>
        <w:tc>
          <w:tcPr>
            <w:tcW w:w="737" w:type="dxa"/>
            <w:tcBorders>
              <w:top w:val="double" w:sz="4" w:space="0" w:color="auto"/>
              <w:left w:val="double" w:sz="4" w:space="0" w:color="auto"/>
              <w:bottom w:val="single" w:sz="2" w:space="0" w:color="auto"/>
              <w:right w:val="double" w:sz="6" w:space="0" w:color="auto"/>
            </w:tcBorders>
            <w:vAlign w:val="bottom"/>
          </w:tcPr>
          <w:p w14:paraId="2D7CC83D"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41.5</w:t>
            </w:r>
          </w:p>
        </w:tc>
      </w:tr>
      <w:tr w:rsidR="00E732EF" w:rsidRPr="00E732EF" w14:paraId="49E3D572" w14:textId="77777777" w:rsidTr="00E732EF">
        <w:trPr>
          <w:trHeight w:val="249"/>
          <w:jc w:val="center"/>
        </w:trPr>
        <w:tc>
          <w:tcPr>
            <w:tcW w:w="1021" w:type="dxa"/>
            <w:tcBorders>
              <w:top w:val="single" w:sz="2" w:space="0" w:color="auto"/>
              <w:left w:val="double" w:sz="6" w:space="0" w:color="auto"/>
              <w:bottom w:val="single" w:sz="2" w:space="0" w:color="auto"/>
              <w:right w:val="double" w:sz="4" w:space="0" w:color="auto"/>
            </w:tcBorders>
            <w:vAlign w:val="center"/>
          </w:tcPr>
          <w:p w14:paraId="42AA3354"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STD</w:t>
            </w:r>
          </w:p>
        </w:tc>
        <w:tc>
          <w:tcPr>
            <w:tcW w:w="624" w:type="dxa"/>
            <w:tcBorders>
              <w:top w:val="single" w:sz="2" w:space="0" w:color="auto"/>
              <w:left w:val="nil"/>
              <w:bottom w:val="single" w:sz="2" w:space="0" w:color="auto"/>
              <w:right w:val="single" w:sz="6" w:space="0" w:color="auto"/>
            </w:tcBorders>
            <w:vAlign w:val="bottom"/>
          </w:tcPr>
          <w:p w14:paraId="1680037F"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3.2</w:t>
            </w:r>
          </w:p>
        </w:tc>
        <w:tc>
          <w:tcPr>
            <w:tcW w:w="624" w:type="dxa"/>
            <w:tcBorders>
              <w:top w:val="single" w:sz="2" w:space="0" w:color="auto"/>
              <w:left w:val="single" w:sz="6" w:space="0" w:color="auto"/>
              <w:bottom w:val="single" w:sz="2" w:space="0" w:color="auto"/>
              <w:right w:val="single" w:sz="6" w:space="0" w:color="auto"/>
            </w:tcBorders>
            <w:vAlign w:val="bottom"/>
          </w:tcPr>
          <w:p w14:paraId="4812DAC8"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3.1</w:t>
            </w:r>
          </w:p>
        </w:tc>
        <w:tc>
          <w:tcPr>
            <w:tcW w:w="624" w:type="dxa"/>
            <w:tcBorders>
              <w:top w:val="single" w:sz="2" w:space="0" w:color="auto"/>
              <w:left w:val="single" w:sz="6" w:space="0" w:color="auto"/>
              <w:bottom w:val="single" w:sz="2" w:space="0" w:color="auto"/>
              <w:right w:val="single" w:sz="6" w:space="0" w:color="auto"/>
            </w:tcBorders>
            <w:vAlign w:val="bottom"/>
          </w:tcPr>
          <w:p w14:paraId="165FF49D"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3.5</w:t>
            </w:r>
          </w:p>
        </w:tc>
        <w:tc>
          <w:tcPr>
            <w:tcW w:w="624" w:type="dxa"/>
            <w:tcBorders>
              <w:top w:val="single" w:sz="2" w:space="0" w:color="auto"/>
              <w:left w:val="single" w:sz="6" w:space="0" w:color="auto"/>
              <w:bottom w:val="single" w:sz="2" w:space="0" w:color="auto"/>
              <w:right w:val="single" w:sz="6" w:space="0" w:color="auto"/>
            </w:tcBorders>
            <w:vAlign w:val="bottom"/>
          </w:tcPr>
          <w:p w14:paraId="7A37E939"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2.2</w:t>
            </w:r>
          </w:p>
        </w:tc>
        <w:tc>
          <w:tcPr>
            <w:tcW w:w="624" w:type="dxa"/>
            <w:tcBorders>
              <w:top w:val="single" w:sz="2" w:space="0" w:color="auto"/>
              <w:left w:val="single" w:sz="6" w:space="0" w:color="auto"/>
              <w:bottom w:val="single" w:sz="2" w:space="0" w:color="auto"/>
              <w:right w:val="single" w:sz="6" w:space="0" w:color="auto"/>
            </w:tcBorders>
            <w:vAlign w:val="bottom"/>
          </w:tcPr>
          <w:p w14:paraId="4DFB26C4"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1.0</w:t>
            </w:r>
          </w:p>
        </w:tc>
        <w:tc>
          <w:tcPr>
            <w:tcW w:w="624" w:type="dxa"/>
            <w:tcBorders>
              <w:top w:val="single" w:sz="2" w:space="0" w:color="auto"/>
              <w:left w:val="single" w:sz="6" w:space="0" w:color="auto"/>
              <w:bottom w:val="single" w:sz="2" w:space="0" w:color="auto"/>
              <w:right w:val="single" w:sz="6" w:space="0" w:color="auto"/>
            </w:tcBorders>
            <w:vAlign w:val="bottom"/>
          </w:tcPr>
          <w:p w14:paraId="370B1F2C"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0.0</w:t>
            </w:r>
          </w:p>
        </w:tc>
        <w:tc>
          <w:tcPr>
            <w:tcW w:w="624" w:type="dxa"/>
            <w:tcBorders>
              <w:top w:val="single" w:sz="2" w:space="0" w:color="auto"/>
              <w:left w:val="single" w:sz="6" w:space="0" w:color="auto"/>
              <w:bottom w:val="single" w:sz="2" w:space="0" w:color="auto"/>
              <w:right w:val="single" w:sz="6" w:space="0" w:color="auto"/>
            </w:tcBorders>
            <w:vAlign w:val="bottom"/>
          </w:tcPr>
          <w:p w14:paraId="40B79906"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0.0</w:t>
            </w:r>
          </w:p>
        </w:tc>
        <w:tc>
          <w:tcPr>
            <w:tcW w:w="624" w:type="dxa"/>
            <w:tcBorders>
              <w:top w:val="single" w:sz="2" w:space="0" w:color="auto"/>
              <w:left w:val="single" w:sz="6" w:space="0" w:color="auto"/>
              <w:bottom w:val="single" w:sz="2" w:space="0" w:color="auto"/>
              <w:right w:val="single" w:sz="6" w:space="0" w:color="auto"/>
            </w:tcBorders>
            <w:vAlign w:val="bottom"/>
          </w:tcPr>
          <w:p w14:paraId="5E76644D"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0.0</w:t>
            </w:r>
          </w:p>
        </w:tc>
        <w:tc>
          <w:tcPr>
            <w:tcW w:w="624" w:type="dxa"/>
            <w:tcBorders>
              <w:top w:val="single" w:sz="2" w:space="0" w:color="auto"/>
              <w:left w:val="single" w:sz="6" w:space="0" w:color="auto"/>
              <w:bottom w:val="single" w:sz="2" w:space="0" w:color="auto"/>
              <w:right w:val="single" w:sz="6" w:space="0" w:color="auto"/>
            </w:tcBorders>
            <w:vAlign w:val="bottom"/>
          </w:tcPr>
          <w:p w14:paraId="7EF2D81A"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0.4</w:t>
            </w:r>
          </w:p>
        </w:tc>
        <w:tc>
          <w:tcPr>
            <w:tcW w:w="624" w:type="dxa"/>
            <w:tcBorders>
              <w:top w:val="single" w:sz="2" w:space="0" w:color="auto"/>
              <w:left w:val="single" w:sz="6" w:space="0" w:color="auto"/>
              <w:bottom w:val="single" w:sz="2" w:space="0" w:color="auto"/>
              <w:right w:val="single" w:sz="6" w:space="0" w:color="auto"/>
            </w:tcBorders>
            <w:vAlign w:val="bottom"/>
          </w:tcPr>
          <w:p w14:paraId="4559607F"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1.3</w:t>
            </w:r>
          </w:p>
        </w:tc>
        <w:tc>
          <w:tcPr>
            <w:tcW w:w="624" w:type="dxa"/>
            <w:tcBorders>
              <w:top w:val="single" w:sz="2" w:space="0" w:color="auto"/>
              <w:left w:val="single" w:sz="6" w:space="0" w:color="auto"/>
              <w:bottom w:val="single" w:sz="2" w:space="0" w:color="auto"/>
              <w:right w:val="single" w:sz="6" w:space="0" w:color="auto"/>
            </w:tcBorders>
            <w:vAlign w:val="bottom"/>
          </w:tcPr>
          <w:p w14:paraId="10D7B624"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3.8</w:t>
            </w:r>
          </w:p>
        </w:tc>
        <w:tc>
          <w:tcPr>
            <w:tcW w:w="624" w:type="dxa"/>
            <w:tcBorders>
              <w:top w:val="single" w:sz="2" w:space="0" w:color="auto"/>
              <w:left w:val="single" w:sz="6" w:space="0" w:color="auto"/>
              <w:bottom w:val="single" w:sz="2" w:space="0" w:color="auto"/>
              <w:right w:val="nil"/>
            </w:tcBorders>
            <w:vAlign w:val="bottom"/>
          </w:tcPr>
          <w:p w14:paraId="3E7339ED"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4.9</w:t>
            </w:r>
          </w:p>
        </w:tc>
        <w:tc>
          <w:tcPr>
            <w:tcW w:w="737" w:type="dxa"/>
            <w:tcBorders>
              <w:top w:val="single" w:sz="2" w:space="0" w:color="auto"/>
              <w:left w:val="double" w:sz="4" w:space="0" w:color="auto"/>
              <w:bottom w:val="single" w:sz="2" w:space="0" w:color="auto"/>
              <w:right w:val="double" w:sz="6" w:space="0" w:color="auto"/>
            </w:tcBorders>
            <w:vAlign w:val="bottom"/>
          </w:tcPr>
          <w:p w14:paraId="65821170"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10.6</w:t>
            </w:r>
          </w:p>
        </w:tc>
      </w:tr>
      <w:tr w:rsidR="00E732EF" w:rsidRPr="00E732EF" w14:paraId="71B394ED" w14:textId="77777777" w:rsidTr="00E732EF">
        <w:trPr>
          <w:trHeight w:val="249"/>
          <w:jc w:val="center"/>
        </w:trPr>
        <w:tc>
          <w:tcPr>
            <w:tcW w:w="1021" w:type="dxa"/>
            <w:tcBorders>
              <w:top w:val="single" w:sz="2" w:space="0" w:color="auto"/>
              <w:left w:val="double" w:sz="6" w:space="0" w:color="auto"/>
              <w:bottom w:val="single" w:sz="2" w:space="0" w:color="auto"/>
              <w:right w:val="double" w:sz="4" w:space="0" w:color="auto"/>
            </w:tcBorders>
            <w:vAlign w:val="center"/>
          </w:tcPr>
          <w:p w14:paraId="44805580"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MIN</w:t>
            </w:r>
          </w:p>
        </w:tc>
        <w:tc>
          <w:tcPr>
            <w:tcW w:w="624" w:type="dxa"/>
            <w:tcBorders>
              <w:top w:val="single" w:sz="2" w:space="0" w:color="auto"/>
              <w:left w:val="nil"/>
              <w:bottom w:val="single" w:sz="2" w:space="0" w:color="auto"/>
              <w:right w:val="single" w:sz="6" w:space="0" w:color="auto"/>
            </w:tcBorders>
            <w:vAlign w:val="bottom"/>
          </w:tcPr>
          <w:p w14:paraId="0A5CD63C"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3</w:t>
            </w:r>
          </w:p>
        </w:tc>
        <w:tc>
          <w:tcPr>
            <w:tcW w:w="624" w:type="dxa"/>
            <w:tcBorders>
              <w:top w:val="single" w:sz="2" w:space="0" w:color="auto"/>
              <w:left w:val="single" w:sz="6" w:space="0" w:color="auto"/>
              <w:bottom w:val="single" w:sz="2" w:space="0" w:color="auto"/>
              <w:right w:val="single" w:sz="6" w:space="0" w:color="auto"/>
            </w:tcBorders>
            <w:vAlign w:val="bottom"/>
          </w:tcPr>
          <w:p w14:paraId="26938142"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w:t>
            </w:r>
          </w:p>
        </w:tc>
        <w:tc>
          <w:tcPr>
            <w:tcW w:w="624" w:type="dxa"/>
            <w:tcBorders>
              <w:top w:val="single" w:sz="2" w:space="0" w:color="auto"/>
              <w:left w:val="single" w:sz="6" w:space="0" w:color="auto"/>
              <w:bottom w:val="single" w:sz="2" w:space="0" w:color="auto"/>
              <w:right w:val="single" w:sz="6" w:space="0" w:color="auto"/>
            </w:tcBorders>
            <w:vAlign w:val="bottom"/>
          </w:tcPr>
          <w:p w14:paraId="03D28311"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1</w:t>
            </w:r>
          </w:p>
        </w:tc>
        <w:tc>
          <w:tcPr>
            <w:tcW w:w="624" w:type="dxa"/>
            <w:tcBorders>
              <w:top w:val="single" w:sz="2" w:space="0" w:color="auto"/>
              <w:left w:val="single" w:sz="6" w:space="0" w:color="auto"/>
              <w:bottom w:val="single" w:sz="2" w:space="0" w:color="auto"/>
              <w:right w:val="single" w:sz="6" w:space="0" w:color="auto"/>
            </w:tcBorders>
            <w:vAlign w:val="bottom"/>
          </w:tcPr>
          <w:p w14:paraId="3DFADE98"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w:t>
            </w:r>
          </w:p>
        </w:tc>
        <w:tc>
          <w:tcPr>
            <w:tcW w:w="624" w:type="dxa"/>
            <w:tcBorders>
              <w:top w:val="single" w:sz="2" w:space="0" w:color="auto"/>
              <w:left w:val="single" w:sz="6" w:space="0" w:color="auto"/>
              <w:bottom w:val="single" w:sz="2" w:space="0" w:color="auto"/>
              <w:right w:val="single" w:sz="6" w:space="0" w:color="auto"/>
            </w:tcBorders>
            <w:vAlign w:val="bottom"/>
          </w:tcPr>
          <w:p w14:paraId="5C3A48A1"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w:t>
            </w:r>
          </w:p>
        </w:tc>
        <w:tc>
          <w:tcPr>
            <w:tcW w:w="624" w:type="dxa"/>
            <w:tcBorders>
              <w:top w:val="single" w:sz="2" w:space="0" w:color="auto"/>
              <w:left w:val="single" w:sz="6" w:space="0" w:color="auto"/>
              <w:bottom w:val="single" w:sz="2" w:space="0" w:color="auto"/>
              <w:right w:val="single" w:sz="6" w:space="0" w:color="auto"/>
            </w:tcBorders>
            <w:vAlign w:val="bottom"/>
          </w:tcPr>
          <w:p w14:paraId="43013968"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w:t>
            </w:r>
          </w:p>
        </w:tc>
        <w:tc>
          <w:tcPr>
            <w:tcW w:w="624" w:type="dxa"/>
            <w:tcBorders>
              <w:top w:val="single" w:sz="2" w:space="0" w:color="auto"/>
              <w:left w:val="single" w:sz="6" w:space="0" w:color="auto"/>
              <w:bottom w:val="single" w:sz="2" w:space="0" w:color="auto"/>
              <w:right w:val="single" w:sz="6" w:space="0" w:color="auto"/>
            </w:tcBorders>
            <w:vAlign w:val="bottom"/>
          </w:tcPr>
          <w:p w14:paraId="21041A5B"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w:t>
            </w:r>
          </w:p>
        </w:tc>
        <w:tc>
          <w:tcPr>
            <w:tcW w:w="624" w:type="dxa"/>
            <w:tcBorders>
              <w:top w:val="single" w:sz="2" w:space="0" w:color="auto"/>
              <w:left w:val="single" w:sz="6" w:space="0" w:color="auto"/>
              <w:bottom w:val="single" w:sz="2" w:space="0" w:color="auto"/>
              <w:right w:val="single" w:sz="6" w:space="0" w:color="auto"/>
            </w:tcBorders>
            <w:vAlign w:val="bottom"/>
          </w:tcPr>
          <w:p w14:paraId="3573EB27"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w:t>
            </w:r>
          </w:p>
        </w:tc>
        <w:tc>
          <w:tcPr>
            <w:tcW w:w="624" w:type="dxa"/>
            <w:tcBorders>
              <w:top w:val="single" w:sz="2" w:space="0" w:color="auto"/>
              <w:left w:val="single" w:sz="6" w:space="0" w:color="auto"/>
              <w:bottom w:val="single" w:sz="2" w:space="0" w:color="auto"/>
              <w:right w:val="single" w:sz="6" w:space="0" w:color="auto"/>
            </w:tcBorders>
            <w:vAlign w:val="bottom"/>
          </w:tcPr>
          <w:p w14:paraId="3B1105B2"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w:t>
            </w:r>
          </w:p>
        </w:tc>
        <w:tc>
          <w:tcPr>
            <w:tcW w:w="624" w:type="dxa"/>
            <w:tcBorders>
              <w:top w:val="single" w:sz="2" w:space="0" w:color="auto"/>
              <w:left w:val="single" w:sz="6" w:space="0" w:color="auto"/>
              <w:bottom w:val="single" w:sz="2" w:space="0" w:color="auto"/>
              <w:right w:val="single" w:sz="6" w:space="0" w:color="auto"/>
            </w:tcBorders>
            <w:vAlign w:val="bottom"/>
          </w:tcPr>
          <w:p w14:paraId="17143EEE"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w:t>
            </w:r>
          </w:p>
        </w:tc>
        <w:tc>
          <w:tcPr>
            <w:tcW w:w="624" w:type="dxa"/>
            <w:tcBorders>
              <w:top w:val="single" w:sz="2" w:space="0" w:color="auto"/>
              <w:left w:val="single" w:sz="6" w:space="0" w:color="auto"/>
              <w:bottom w:val="single" w:sz="2" w:space="0" w:color="auto"/>
              <w:right w:val="single" w:sz="6" w:space="0" w:color="auto"/>
            </w:tcBorders>
            <w:vAlign w:val="bottom"/>
          </w:tcPr>
          <w:p w14:paraId="7EBEEBF3"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1</w:t>
            </w:r>
          </w:p>
        </w:tc>
        <w:tc>
          <w:tcPr>
            <w:tcW w:w="624" w:type="dxa"/>
            <w:tcBorders>
              <w:top w:val="single" w:sz="2" w:space="0" w:color="auto"/>
              <w:left w:val="single" w:sz="6" w:space="0" w:color="auto"/>
              <w:bottom w:val="single" w:sz="2" w:space="0" w:color="auto"/>
              <w:right w:val="nil"/>
            </w:tcBorders>
            <w:vAlign w:val="bottom"/>
          </w:tcPr>
          <w:p w14:paraId="7D6ED205"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w:t>
            </w:r>
          </w:p>
        </w:tc>
        <w:tc>
          <w:tcPr>
            <w:tcW w:w="737" w:type="dxa"/>
            <w:tcBorders>
              <w:top w:val="single" w:sz="2" w:space="0" w:color="auto"/>
              <w:left w:val="double" w:sz="4" w:space="0" w:color="auto"/>
              <w:bottom w:val="single" w:sz="2" w:space="0" w:color="auto"/>
              <w:right w:val="double" w:sz="6" w:space="0" w:color="auto"/>
            </w:tcBorders>
            <w:vAlign w:val="bottom"/>
          </w:tcPr>
          <w:p w14:paraId="1F7BF6B1"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21</w:t>
            </w:r>
          </w:p>
        </w:tc>
      </w:tr>
      <w:tr w:rsidR="00E732EF" w:rsidRPr="00E732EF" w14:paraId="32DAE903" w14:textId="77777777" w:rsidTr="00E732EF">
        <w:trPr>
          <w:trHeight w:val="249"/>
          <w:jc w:val="center"/>
        </w:trPr>
        <w:tc>
          <w:tcPr>
            <w:tcW w:w="1021" w:type="dxa"/>
            <w:tcBorders>
              <w:top w:val="single" w:sz="2" w:space="0" w:color="auto"/>
              <w:left w:val="double" w:sz="6" w:space="0" w:color="auto"/>
              <w:bottom w:val="double" w:sz="4" w:space="0" w:color="auto"/>
              <w:right w:val="double" w:sz="4" w:space="0" w:color="auto"/>
            </w:tcBorders>
            <w:vAlign w:val="center"/>
          </w:tcPr>
          <w:p w14:paraId="116543E2"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MAKS</w:t>
            </w:r>
          </w:p>
        </w:tc>
        <w:tc>
          <w:tcPr>
            <w:tcW w:w="624" w:type="dxa"/>
            <w:tcBorders>
              <w:top w:val="single" w:sz="2" w:space="0" w:color="auto"/>
              <w:left w:val="nil"/>
              <w:bottom w:val="double" w:sz="4" w:space="0" w:color="auto"/>
              <w:right w:val="single" w:sz="6" w:space="0" w:color="auto"/>
            </w:tcBorders>
            <w:vAlign w:val="bottom"/>
          </w:tcPr>
          <w:p w14:paraId="74E9EB46"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12</w:t>
            </w:r>
          </w:p>
        </w:tc>
        <w:tc>
          <w:tcPr>
            <w:tcW w:w="624" w:type="dxa"/>
            <w:tcBorders>
              <w:top w:val="single" w:sz="2" w:space="0" w:color="auto"/>
              <w:left w:val="single" w:sz="6" w:space="0" w:color="auto"/>
              <w:bottom w:val="double" w:sz="4" w:space="0" w:color="auto"/>
              <w:right w:val="single" w:sz="6" w:space="0" w:color="auto"/>
            </w:tcBorders>
            <w:vAlign w:val="bottom"/>
          </w:tcPr>
          <w:p w14:paraId="4CF3C2C8"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13</w:t>
            </w:r>
          </w:p>
        </w:tc>
        <w:tc>
          <w:tcPr>
            <w:tcW w:w="624" w:type="dxa"/>
            <w:tcBorders>
              <w:top w:val="single" w:sz="2" w:space="0" w:color="auto"/>
              <w:left w:val="single" w:sz="6" w:space="0" w:color="auto"/>
              <w:bottom w:val="double" w:sz="4" w:space="0" w:color="auto"/>
              <w:right w:val="single" w:sz="6" w:space="0" w:color="auto"/>
            </w:tcBorders>
            <w:vAlign w:val="bottom"/>
          </w:tcPr>
          <w:p w14:paraId="3E84514B"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15</w:t>
            </w:r>
          </w:p>
        </w:tc>
        <w:tc>
          <w:tcPr>
            <w:tcW w:w="624" w:type="dxa"/>
            <w:tcBorders>
              <w:top w:val="single" w:sz="2" w:space="0" w:color="auto"/>
              <w:left w:val="single" w:sz="6" w:space="0" w:color="auto"/>
              <w:bottom w:val="double" w:sz="4" w:space="0" w:color="auto"/>
              <w:right w:val="single" w:sz="6" w:space="0" w:color="auto"/>
            </w:tcBorders>
            <w:vAlign w:val="bottom"/>
          </w:tcPr>
          <w:p w14:paraId="752F6D87"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8</w:t>
            </w:r>
          </w:p>
        </w:tc>
        <w:tc>
          <w:tcPr>
            <w:tcW w:w="624" w:type="dxa"/>
            <w:tcBorders>
              <w:top w:val="single" w:sz="2" w:space="0" w:color="auto"/>
              <w:left w:val="single" w:sz="6" w:space="0" w:color="auto"/>
              <w:bottom w:val="double" w:sz="4" w:space="0" w:color="auto"/>
              <w:right w:val="single" w:sz="6" w:space="0" w:color="auto"/>
            </w:tcBorders>
            <w:vAlign w:val="bottom"/>
          </w:tcPr>
          <w:p w14:paraId="3789D898"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3</w:t>
            </w:r>
          </w:p>
        </w:tc>
        <w:tc>
          <w:tcPr>
            <w:tcW w:w="624" w:type="dxa"/>
            <w:tcBorders>
              <w:top w:val="single" w:sz="2" w:space="0" w:color="auto"/>
              <w:left w:val="single" w:sz="6" w:space="0" w:color="auto"/>
              <w:bottom w:val="double" w:sz="4" w:space="0" w:color="auto"/>
              <w:right w:val="single" w:sz="6" w:space="0" w:color="auto"/>
            </w:tcBorders>
            <w:vAlign w:val="bottom"/>
          </w:tcPr>
          <w:p w14:paraId="3E46FF22"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w:t>
            </w:r>
          </w:p>
        </w:tc>
        <w:tc>
          <w:tcPr>
            <w:tcW w:w="624" w:type="dxa"/>
            <w:tcBorders>
              <w:top w:val="single" w:sz="2" w:space="0" w:color="auto"/>
              <w:left w:val="single" w:sz="6" w:space="0" w:color="auto"/>
              <w:bottom w:val="double" w:sz="4" w:space="0" w:color="auto"/>
              <w:right w:val="single" w:sz="6" w:space="0" w:color="auto"/>
            </w:tcBorders>
            <w:vAlign w:val="bottom"/>
          </w:tcPr>
          <w:p w14:paraId="44B692DE"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w:t>
            </w:r>
          </w:p>
        </w:tc>
        <w:tc>
          <w:tcPr>
            <w:tcW w:w="624" w:type="dxa"/>
            <w:tcBorders>
              <w:top w:val="single" w:sz="2" w:space="0" w:color="auto"/>
              <w:left w:val="single" w:sz="6" w:space="0" w:color="auto"/>
              <w:bottom w:val="double" w:sz="4" w:space="0" w:color="auto"/>
              <w:right w:val="single" w:sz="6" w:space="0" w:color="auto"/>
            </w:tcBorders>
            <w:vAlign w:val="bottom"/>
          </w:tcPr>
          <w:p w14:paraId="2B2D2E7C"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0</w:t>
            </w:r>
          </w:p>
        </w:tc>
        <w:tc>
          <w:tcPr>
            <w:tcW w:w="624" w:type="dxa"/>
            <w:tcBorders>
              <w:top w:val="single" w:sz="2" w:space="0" w:color="auto"/>
              <w:left w:val="single" w:sz="6" w:space="0" w:color="auto"/>
              <w:bottom w:val="double" w:sz="4" w:space="0" w:color="auto"/>
              <w:right w:val="single" w:sz="6" w:space="0" w:color="auto"/>
            </w:tcBorders>
            <w:vAlign w:val="bottom"/>
          </w:tcPr>
          <w:p w14:paraId="7F5D0ABB"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1</w:t>
            </w:r>
          </w:p>
        </w:tc>
        <w:tc>
          <w:tcPr>
            <w:tcW w:w="624" w:type="dxa"/>
            <w:tcBorders>
              <w:top w:val="single" w:sz="2" w:space="0" w:color="auto"/>
              <w:left w:val="single" w:sz="6" w:space="0" w:color="auto"/>
              <w:bottom w:val="double" w:sz="4" w:space="0" w:color="auto"/>
              <w:right w:val="single" w:sz="6" w:space="0" w:color="auto"/>
            </w:tcBorders>
            <w:vAlign w:val="bottom"/>
          </w:tcPr>
          <w:p w14:paraId="2F71B746"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4</w:t>
            </w:r>
          </w:p>
        </w:tc>
        <w:tc>
          <w:tcPr>
            <w:tcW w:w="624" w:type="dxa"/>
            <w:tcBorders>
              <w:top w:val="single" w:sz="2" w:space="0" w:color="auto"/>
              <w:left w:val="single" w:sz="6" w:space="0" w:color="auto"/>
              <w:bottom w:val="double" w:sz="4" w:space="0" w:color="auto"/>
              <w:right w:val="single" w:sz="6" w:space="0" w:color="auto"/>
            </w:tcBorders>
            <w:vAlign w:val="bottom"/>
          </w:tcPr>
          <w:p w14:paraId="3890BE57"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17</w:t>
            </w:r>
          </w:p>
        </w:tc>
        <w:tc>
          <w:tcPr>
            <w:tcW w:w="624" w:type="dxa"/>
            <w:tcBorders>
              <w:top w:val="single" w:sz="2" w:space="0" w:color="auto"/>
              <w:left w:val="single" w:sz="6" w:space="0" w:color="auto"/>
              <w:bottom w:val="double" w:sz="4" w:space="0" w:color="auto"/>
              <w:right w:val="nil"/>
            </w:tcBorders>
            <w:vAlign w:val="bottom"/>
          </w:tcPr>
          <w:p w14:paraId="23E2D524"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18</w:t>
            </w:r>
          </w:p>
        </w:tc>
        <w:tc>
          <w:tcPr>
            <w:tcW w:w="737" w:type="dxa"/>
            <w:tcBorders>
              <w:top w:val="single" w:sz="2" w:space="0" w:color="auto"/>
              <w:left w:val="double" w:sz="4" w:space="0" w:color="auto"/>
              <w:bottom w:val="double" w:sz="4" w:space="0" w:color="auto"/>
              <w:right w:val="double" w:sz="6" w:space="0" w:color="auto"/>
            </w:tcBorders>
            <w:vAlign w:val="bottom"/>
          </w:tcPr>
          <w:p w14:paraId="50178F22" w14:textId="77777777" w:rsidR="00E732EF" w:rsidRPr="00E732EF" w:rsidRDefault="00E732EF" w:rsidP="00E732EF">
            <w:pPr>
              <w:spacing w:after="0" w:line="240" w:lineRule="auto"/>
              <w:jc w:val="center"/>
              <w:rPr>
                <w:rFonts w:ascii="Arial" w:eastAsia="Arial Unicode MS" w:hAnsi="Arial" w:cs="Arial"/>
                <w:noProof/>
                <w:sz w:val="18"/>
                <w:szCs w:val="18"/>
              </w:rPr>
            </w:pPr>
            <w:r w:rsidRPr="00E732EF">
              <w:rPr>
                <w:rFonts w:ascii="Arial" w:eastAsia="Times New Roman" w:hAnsi="Arial" w:cs="Arial"/>
                <w:noProof/>
                <w:sz w:val="18"/>
                <w:szCs w:val="18"/>
              </w:rPr>
              <w:t>66</w:t>
            </w:r>
          </w:p>
        </w:tc>
      </w:tr>
    </w:tbl>
    <w:p w14:paraId="1329F3E1" w14:textId="77777777" w:rsidR="00E732EF" w:rsidRPr="00E732EF" w:rsidRDefault="00E732EF" w:rsidP="00E732EF">
      <w:pPr>
        <w:spacing w:after="0" w:line="240" w:lineRule="auto"/>
        <w:jc w:val="both"/>
        <w:rPr>
          <w:rFonts w:ascii="Times New Roman" w:eastAsia="Calibri" w:hAnsi="Times New Roman" w:cs="Times New Roman"/>
          <w:noProof/>
        </w:rPr>
      </w:pPr>
    </w:p>
    <w:p w14:paraId="4B7DC5C5"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Iz godišnjeg hoda broja dana s poledicom na meteorološkim postajama (tablica) u razdoblju 1981.-2000. može se zaključiti da je poledica najvjerojatnija u zimskim mjesecima prosincu, siječnju i veljači, ali i u ožujku i studenom, kada se prosječni broj povoljnih dana kreće od 6 do 9. Prosječno najviše dana (10) i najveće varijacije u broju dana povoljnih za poledicu ima prosinac. Ožujak s maksimalnim brojem od 15 zabilježenih dana s poledicom i studeni sa 17 dana prosječno gledano rizičniji su čak od veljače. U cijelom razdoblju najveći broj povoljnih dana za poledicu u jednom mjesecu zabilježen je u prosincu 2000. godine, i iznosio je 18 dana, a niti jedan dan bilježen je u prosincu i veljači. Rizik za poledicu očekuje se još u travnju sa srednjim brojem dana 4 i maksimalnim 8, te još manji u listopadu (srednji broj 2, maksimalni 4 dana). U ostalim mjesecima rizika od poledice nema.</w:t>
      </w:r>
    </w:p>
    <w:p w14:paraId="3318F7E6" w14:textId="77777777" w:rsidR="00E732EF" w:rsidRPr="00E732EF" w:rsidRDefault="00E732EF" w:rsidP="00E732EF">
      <w:pPr>
        <w:jc w:val="both"/>
        <w:rPr>
          <w:rFonts w:ascii="Times New Roman" w:eastAsia="Calibri" w:hAnsi="Times New Roman" w:cs="Times New Roman"/>
          <w:i/>
          <w:iCs/>
        </w:rPr>
      </w:pPr>
      <w:r w:rsidRPr="00E732EF">
        <w:rPr>
          <w:rFonts w:ascii="Times New Roman" w:eastAsia="Calibri" w:hAnsi="Times New Roman" w:cs="Arial"/>
          <w:noProof/>
        </w:rPr>
        <w:t>Prostorne razlike u nadmorskoj visini terena Međimurske županije su vrlo male, pa navedene klimatske karakteristike vrijede podjednako za cijelu županiju. Povećani rizik od poledice u ožujku usporediv sa zimskim mjesecima vjerojatno je posljedica najsjevernijeg položaja u Hrvatskoj i većoj izloženosti hladnim prodorima sa sjevera u proljeće.</w:t>
      </w:r>
    </w:p>
    <w:p w14:paraId="5FEB0A85"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i/>
          <w:iCs/>
        </w:rPr>
        <w:t>Ugroženi su svi prometni pravci:</w:t>
      </w:r>
      <w:r w:rsidRPr="00E732EF">
        <w:rPr>
          <w:rFonts w:ascii="Times New Roman" w:eastAsia="Calibri" w:hAnsi="Times New Roman" w:cs="Times New Roman"/>
        </w:rPr>
        <w:t xml:space="preserve"> Ugrožene su sve prometnice na području Općine Sveti Juraj na Bregu, a posebno određeni lokalni pravci na kojima se poradi prioriteta intervencija u zimskim uvjetima ne može ili teško može spriječiti zaleđenost kolnika. </w:t>
      </w:r>
    </w:p>
    <w:p w14:paraId="56FF7398"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 xml:space="preserve">Posljedice poledica su otežano odvijanje prometa (spori dolazak žurnih službi te redovnih službi) i povećana vjerojatnost pojedinačnih prometnih nesreća. U pojedinačnim prometnim nesrećama može biti lako povrijeđenih osoba sa manjim materijalnim štetama na vozilima. Poledice nisu tako velikog i dugotrajnog obima da bi spriječile dolazak Hitne pomoći, dolazak redovnih službi, veterinara i dr. Posljedice su neznatne uzimajući u obzir i alternativne pravce. </w:t>
      </w:r>
    </w:p>
    <w:p w14:paraId="210281E9" w14:textId="77777777" w:rsidR="00E732EF" w:rsidRPr="00E732EF" w:rsidRDefault="00E732EF" w:rsidP="00E732EF">
      <w:pPr>
        <w:spacing w:after="0"/>
        <w:rPr>
          <w:rFonts w:ascii="Times New Roman" w:eastAsia="Calibri" w:hAnsi="Times New Roman" w:cs="Times New Roman"/>
          <w:i/>
          <w:iCs/>
        </w:rPr>
      </w:pPr>
      <w:r w:rsidRPr="00E732EF">
        <w:rPr>
          <w:rFonts w:ascii="Times New Roman" w:eastAsia="Calibri" w:hAnsi="Times New Roman" w:cs="Times New Roman"/>
          <w:i/>
          <w:iCs/>
        </w:rPr>
        <w:t xml:space="preserve">Preventivne mjere radi umanjenja posljedica prirodne nepogode  </w:t>
      </w:r>
    </w:p>
    <w:p w14:paraId="783E8C80"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 xml:space="preserve">Preventivne mjere su u odgovarajućoj službi koja u svojoj redovnoj djelatnosti vodi računa o sigurnosti prometne infrastrukture (održavanje i čišćenje prometnica te adekvatno označeno prometnim znakovima opasnost od poledica ili snježnog nanosa), zbog poduzimanja potrebnih aktivnosti i zadaća pripravnosti operativnih snaga i materijalnih resursa.  </w:t>
      </w:r>
    </w:p>
    <w:p w14:paraId="12A107EF" w14:textId="77777777" w:rsidR="00E732EF" w:rsidRPr="00E732EF" w:rsidRDefault="00E732EF" w:rsidP="00E732EF">
      <w:pPr>
        <w:spacing w:after="0"/>
        <w:rPr>
          <w:rFonts w:ascii="Times New Roman" w:eastAsia="Calibri" w:hAnsi="Times New Roman" w:cs="Times New Roman"/>
          <w:i/>
          <w:iCs/>
        </w:rPr>
      </w:pPr>
      <w:r w:rsidRPr="00E732EF">
        <w:rPr>
          <w:rFonts w:ascii="Times New Roman" w:eastAsia="Calibri" w:hAnsi="Times New Roman" w:cs="Times New Roman"/>
          <w:i/>
          <w:iCs/>
        </w:rPr>
        <w:t xml:space="preserve"> </w:t>
      </w:r>
    </w:p>
    <w:p w14:paraId="46BA11FF" w14:textId="77777777" w:rsidR="00E732EF" w:rsidRPr="00E732EF" w:rsidRDefault="00E732EF" w:rsidP="00E732EF">
      <w:pPr>
        <w:spacing w:after="0"/>
        <w:rPr>
          <w:rFonts w:ascii="Times New Roman" w:eastAsia="Calibri" w:hAnsi="Times New Roman" w:cs="Times New Roman"/>
          <w:i/>
          <w:iCs/>
        </w:rPr>
      </w:pPr>
    </w:p>
    <w:p w14:paraId="6B5149FD" w14:textId="77777777" w:rsidR="00E732EF" w:rsidRPr="00E732EF" w:rsidRDefault="00E732EF" w:rsidP="00E732EF">
      <w:pPr>
        <w:spacing w:after="0"/>
        <w:rPr>
          <w:rFonts w:ascii="Times New Roman" w:eastAsia="Calibri" w:hAnsi="Times New Roman" w:cs="Times New Roman"/>
          <w:i/>
          <w:iCs/>
        </w:rPr>
      </w:pPr>
      <w:r w:rsidRPr="00E732EF">
        <w:rPr>
          <w:rFonts w:ascii="Times New Roman" w:eastAsia="Calibri" w:hAnsi="Times New Roman" w:cs="Times New Roman"/>
          <w:i/>
          <w:iCs/>
        </w:rPr>
        <w:lastRenderedPageBreak/>
        <w:t xml:space="preserve">Mjere za ublažavanje i otklanjanje izravnih posljedica prirodne nepogode </w:t>
      </w:r>
    </w:p>
    <w:p w14:paraId="28904D66"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 xml:space="preserve">Mjere za ublažavanje i otklanjanje izravnih posljedica prirodne nepogode podrazumijevaju procjenu šteta i posljedica; sanaciju nastalih oštećenja i šteta. Sanacija obuhvaća aktivnosti kojima se otklanjaju posljedice prirodne nepogode, pružanje prve pomoći unesrećenima ukoliko ih je bilo te sve ostale radnje kojima se smanjuju posljedice poledica. </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005"/>
        <w:gridCol w:w="8010"/>
      </w:tblGrid>
      <w:tr w:rsidR="00E732EF" w:rsidRPr="00E732EF" w14:paraId="0AD67DD1" w14:textId="77777777" w:rsidTr="00E732EF">
        <w:trPr>
          <w:trHeight w:val="25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42F5F77B" w14:textId="77777777" w:rsidR="00E732EF" w:rsidRPr="00E732EF" w:rsidRDefault="00E732EF" w:rsidP="00E732EF">
            <w:pPr>
              <w:ind w:left="-23"/>
              <w:jc w:val="center"/>
              <w:rPr>
                <w:rFonts w:ascii="Times New Roman" w:eastAsia="Calibri" w:hAnsi="Times New Roman" w:cs="Times New Roman"/>
                <w:b/>
                <w:bCs/>
              </w:rPr>
            </w:pPr>
            <w:r w:rsidRPr="00E732EF">
              <w:rPr>
                <w:rFonts w:ascii="Times New Roman" w:eastAsia="Calibri" w:hAnsi="Times New Roman" w:cs="Times New Roman"/>
                <w:b/>
                <w:bCs/>
              </w:rPr>
              <w:t>R/br.</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7123F0B7" w14:textId="77777777" w:rsidR="00E732EF" w:rsidRPr="00E732EF" w:rsidRDefault="00E732EF" w:rsidP="00E732EF">
            <w:pPr>
              <w:ind w:left="-23"/>
              <w:jc w:val="center"/>
              <w:rPr>
                <w:rFonts w:ascii="Times New Roman" w:eastAsia="Calibri" w:hAnsi="Times New Roman" w:cs="Times New Roman"/>
                <w:b/>
                <w:bCs/>
              </w:rPr>
            </w:pPr>
            <w:r w:rsidRPr="00E732EF">
              <w:rPr>
                <w:rFonts w:ascii="Times New Roman" w:eastAsia="Calibri" w:hAnsi="Times New Roman" w:cs="Times New Roman"/>
                <w:b/>
                <w:bCs/>
              </w:rPr>
              <w:t>MJERE – radnje i postupci</w:t>
            </w:r>
          </w:p>
        </w:tc>
      </w:tr>
      <w:tr w:rsidR="00E732EF" w:rsidRPr="00E732EF" w14:paraId="2E79595F" w14:textId="77777777" w:rsidTr="00E732EF">
        <w:trPr>
          <w:trHeight w:val="42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61A56C9A"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1.</w:t>
            </w:r>
          </w:p>
        </w:tc>
        <w:tc>
          <w:tcPr>
            <w:tcW w:w="8010" w:type="dxa"/>
            <w:tcBorders>
              <w:top w:val="single" w:sz="4" w:space="0" w:color="BFBFBF"/>
              <w:left w:val="single" w:sz="4" w:space="0" w:color="BFBFBF"/>
              <w:bottom w:val="single" w:sz="4" w:space="0" w:color="BFBFBF"/>
              <w:right w:val="single" w:sz="4" w:space="0" w:color="BFBFBF"/>
            </w:tcBorders>
            <w:hideMark/>
          </w:tcPr>
          <w:p w14:paraId="22443A32"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Izvještavanje župana Međimurske županije i predlaganje aktiviranja Povjerenstva za procjenu štete od elementarnih nepogoda na ugroženim područjima.</w:t>
            </w:r>
          </w:p>
        </w:tc>
      </w:tr>
      <w:tr w:rsidR="00E732EF" w:rsidRPr="00E732EF" w14:paraId="2802889C" w14:textId="77777777" w:rsidTr="00E732EF">
        <w:trPr>
          <w:trHeight w:val="37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006656C0"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2.</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711AB0EE"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Povjerenstvo nastavlja aktivnosti na popisu i procjeni štete sukladno Zakona o ublažavanju i uklanjanju posljedica </w:t>
            </w:r>
            <w:r w:rsidR="00190F89">
              <w:rPr>
                <w:rFonts w:ascii="Times New Roman" w:eastAsia="Calibri" w:hAnsi="Times New Roman" w:cs="Times New Roman"/>
              </w:rPr>
              <w:t xml:space="preserve">prirodnih nepogoda (NN 16/19) </w:t>
            </w:r>
            <w:r w:rsidRPr="00E732EF">
              <w:rPr>
                <w:rFonts w:ascii="Times New Roman" w:eastAsia="Calibri" w:hAnsi="Times New Roman" w:cs="Times New Roman"/>
              </w:rPr>
              <w:t>i Pravilniku o registru šteta od prirodnih nepogoda (NN 65/19)</w:t>
            </w:r>
          </w:p>
        </w:tc>
      </w:tr>
      <w:tr w:rsidR="00E732EF" w:rsidRPr="00E732EF" w14:paraId="3324FB10" w14:textId="77777777" w:rsidTr="00E732EF">
        <w:trPr>
          <w:trHeight w:val="31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043F8AFD"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3.</w:t>
            </w:r>
          </w:p>
        </w:tc>
        <w:tc>
          <w:tcPr>
            <w:tcW w:w="8010" w:type="dxa"/>
            <w:tcBorders>
              <w:top w:val="single" w:sz="4" w:space="0" w:color="BFBFBF"/>
              <w:left w:val="single" w:sz="4" w:space="0" w:color="BFBFBF"/>
              <w:bottom w:val="single" w:sz="4" w:space="0" w:color="BFBFBF"/>
              <w:right w:val="single" w:sz="4" w:space="0" w:color="BFBFBF"/>
            </w:tcBorders>
            <w:hideMark/>
          </w:tcPr>
          <w:p w14:paraId="14C3B5DF"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Aktiviranje Stožera CZ Općine Sveti Juraj na Bregu – sukladno procjeni općinskog načelnika i aktivnosti žurnih službi</w:t>
            </w:r>
          </w:p>
        </w:tc>
      </w:tr>
      <w:tr w:rsidR="00E732EF" w:rsidRPr="00E732EF" w14:paraId="72398BA8" w14:textId="77777777" w:rsidTr="00E732EF">
        <w:trPr>
          <w:trHeight w:val="37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2CC0607E"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4.</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6B4286C8"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Prikupljanje  informacija o prohodnosti prometnica i kritičnim mjestima.</w:t>
            </w:r>
          </w:p>
        </w:tc>
      </w:tr>
      <w:tr w:rsidR="00E732EF" w:rsidRPr="00E732EF" w14:paraId="45CA842A" w14:textId="77777777" w:rsidTr="00E732EF">
        <w:trPr>
          <w:trHeight w:val="28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24AFA68A"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5.</w:t>
            </w:r>
          </w:p>
        </w:tc>
        <w:tc>
          <w:tcPr>
            <w:tcW w:w="8010" w:type="dxa"/>
            <w:tcBorders>
              <w:top w:val="single" w:sz="4" w:space="0" w:color="BFBFBF"/>
              <w:left w:val="single" w:sz="4" w:space="0" w:color="BFBFBF"/>
              <w:bottom w:val="single" w:sz="4" w:space="0" w:color="BFBFBF"/>
              <w:right w:val="single" w:sz="4" w:space="0" w:color="BFBFBF"/>
            </w:tcBorders>
            <w:hideMark/>
          </w:tcPr>
          <w:p w14:paraId="0194D560"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Prikupljanje informacija o funkcioniranju sustava: za elektroopskrbu, za telekomunikaciju, za vodoopskrbu, o stanju društvenih i stambenih objekata na prostoru.</w:t>
            </w:r>
          </w:p>
        </w:tc>
      </w:tr>
      <w:tr w:rsidR="00E732EF" w:rsidRPr="00E732EF" w14:paraId="2D3F3F3F" w14:textId="77777777" w:rsidTr="00E732EF">
        <w:trPr>
          <w:trHeight w:val="36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053D1342"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6.</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13187B4F"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Aktiviranje komunalnih službi a iznimno i Vatrogasne zajednice Općine (5 DVD)</w:t>
            </w:r>
          </w:p>
        </w:tc>
      </w:tr>
      <w:tr w:rsidR="00E732EF" w:rsidRPr="00E732EF" w14:paraId="6450E20D" w14:textId="77777777" w:rsidTr="00E732EF">
        <w:trPr>
          <w:trHeight w:val="25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6E6A1A8B"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7.</w:t>
            </w:r>
          </w:p>
        </w:tc>
        <w:tc>
          <w:tcPr>
            <w:tcW w:w="8010" w:type="dxa"/>
            <w:tcBorders>
              <w:top w:val="single" w:sz="4" w:space="0" w:color="BFBFBF"/>
              <w:left w:val="single" w:sz="4" w:space="0" w:color="BFBFBF"/>
              <w:bottom w:val="single" w:sz="4" w:space="0" w:color="BFBFBF"/>
              <w:right w:val="single" w:sz="4" w:space="0" w:color="BFBFBF"/>
            </w:tcBorders>
            <w:hideMark/>
          </w:tcPr>
          <w:p w14:paraId="77892B59"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Utvrđivanje redoslijeda u smislu stavljanja u potpunu funkciju prometnica na području Općine  sljedećim prioritetom: 1.Županijske ceste  2.Lokalne ceste  </w:t>
            </w:r>
          </w:p>
        </w:tc>
      </w:tr>
      <w:tr w:rsidR="00E732EF" w:rsidRPr="00E732EF" w14:paraId="6C450472" w14:textId="77777777" w:rsidTr="00E732EF">
        <w:trPr>
          <w:trHeight w:val="18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0DFCFC25"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8.</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3D61CEBD"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Utvrđivanje redoslijeda u smislu stavljanja u potpunu funkciju opskrbu električnom energijom, grijanjem i telekomunikacijom sljedećim prioritetom:  vodoopskrbni sustav, pošta, škole, zdravstvene ustanove, trgovine,  vatrogasni i društveni domovi, ostali korisnici</w:t>
            </w:r>
          </w:p>
        </w:tc>
      </w:tr>
      <w:tr w:rsidR="00E732EF" w:rsidRPr="00E732EF" w14:paraId="42BA6D5F" w14:textId="77777777" w:rsidTr="00E732EF">
        <w:trPr>
          <w:trHeight w:val="30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2EC876D0"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9.</w:t>
            </w:r>
          </w:p>
        </w:tc>
        <w:tc>
          <w:tcPr>
            <w:tcW w:w="8010" w:type="dxa"/>
            <w:tcBorders>
              <w:top w:val="single" w:sz="4" w:space="0" w:color="BFBFBF"/>
              <w:left w:val="single" w:sz="4" w:space="0" w:color="BFBFBF"/>
              <w:bottom w:val="single" w:sz="4" w:space="0" w:color="BFBFBF"/>
              <w:right w:val="single" w:sz="4" w:space="0" w:color="BFBFBF"/>
            </w:tcBorders>
            <w:hideMark/>
          </w:tcPr>
          <w:p w14:paraId="5B82C488"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 koordinaciji sa Stožerom CZ izvršiti pozivanje pravnih osoba iz Odluke o pravnim osobama od interesa za sustav CZ koje posjeduju mehanizaciju kako bi pomogli u što bržem čišćenju prometnica ovlaštenom koncesionaru i doveli do normalnog funkcioniranja zajednice</w:t>
            </w:r>
          </w:p>
        </w:tc>
      </w:tr>
      <w:tr w:rsidR="00E732EF" w:rsidRPr="00E732EF" w14:paraId="1D33CAC4" w14:textId="77777777" w:rsidTr="00E732EF">
        <w:trPr>
          <w:trHeight w:val="45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0502B8CC"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10.</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54781112"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Povjerenstvo Općine nastavlja aktivnosti na popisu i procjeni štete sukladno Zakonu te o rezultatima izvješćuje Međimursku županiju.</w:t>
            </w:r>
          </w:p>
        </w:tc>
      </w:tr>
    </w:tbl>
    <w:p w14:paraId="66F671E8" w14:textId="77777777" w:rsidR="00E732EF" w:rsidRPr="00E732EF" w:rsidRDefault="00E732EF" w:rsidP="00E732EF">
      <w:pPr>
        <w:rPr>
          <w:rFonts w:ascii="Times New Roman" w:eastAsia="Calibri" w:hAnsi="Times New Roman" w:cs="Times New Roman"/>
        </w:rPr>
      </w:pPr>
    </w:p>
    <w:p w14:paraId="177CADAC" w14:textId="77777777" w:rsidR="00E732EF" w:rsidRPr="00E732EF" w:rsidRDefault="00E732EF" w:rsidP="00E732EF">
      <w:pPr>
        <w:rPr>
          <w:rFonts w:ascii="Times New Roman" w:eastAsia="Calibri" w:hAnsi="Times New Roman" w:cs="Times New Roman"/>
          <w:b/>
          <w:bCs/>
        </w:rPr>
      </w:pPr>
      <w:r w:rsidRPr="00E732EF">
        <w:rPr>
          <w:rFonts w:ascii="Times New Roman" w:eastAsia="Calibri" w:hAnsi="Times New Roman" w:cs="Times New Roman"/>
        </w:rPr>
        <w:t xml:space="preserve"> 2.1.5.  </w:t>
      </w:r>
      <w:r w:rsidRPr="00E732EF">
        <w:rPr>
          <w:rFonts w:ascii="Times New Roman" w:eastAsia="Calibri" w:hAnsi="Times New Roman" w:cs="Times New Roman"/>
          <w:b/>
          <w:bCs/>
        </w:rPr>
        <w:t xml:space="preserve">TUČA </w:t>
      </w:r>
    </w:p>
    <w:p w14:paraId="251F518A"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 xml:space="preserve">Područje Općine ali i cijele Hrvatske nalazi se u umjerenim geografskim širinama gdje je pojava tuče i sugradice relativno česta. Tuča je kruta oborina sastavljena od zrna ili komada leda, promjera većeg od 5 do </w:t>
      </w:r>
      <w:smartTag w:uri="urn:schemas-microsoft-com:office:smarttags" w:element="metricconverter">
        <w:smartTagPr>
          <w:attr w:name="ProductID" w:val="50 mm"/>
        </w:smartTagPr>
        <w:r w:rsidRPr="00E732EF">
          <w:rPr>
            <w:rFonts w:ascii="Times New Roman" w:eastAsia="Calibri" w:hAnsi="Times New Roman" w:cs="Times New Roman"/>
            <w:noProof/>
          </w:rPr>
          <w:t>50 mm</w:t>
        </w:r>
      </w:smartTag>
      <w:r w:rsidRPr="00E732EF">
        <w:rPr>
          <w:rFonts w:ascii="Times New Roman" w:eastAsia="Calibri" w:hAnsi="Times New Roman" w:cs="Times New Roman"/>
          <w:noProof/>
        </w:rPr>
        <w:t xml:space="preserve"> i većeg. Elementi tuče sastavljeni su od prozirnih i neprozirnih slojeva leda. Tuča pada isključivo iz grmljavinskog oblaka Cumulonimbusa, a najčešća je u toplom dijelu godine. Sugradica je isto kruta oborina sastavljena od neprozirnih zrna smrznute vode, okruglog oblika, veličine između 2 i </w:t>
      </w:r>
      <w:smartTag w:uri="urn:schemas-microsoft-com:office:smarttags" w:element="metricconverter">
        <w:smartTagPr>
          <w:attr w:name="ProductID" w:val="5 mm"/>
        </w:smartTagPr>
        <w:r w:rsidRPr="00E732EF">
          <w:rPr>
            <w:rFonts w:ascii="Times New Roman" w:eastAsia="Calibri" w:hAnsi="Times New Roman" w:cs="Times New Roman"/>
            <w:noProof/>
          </w:rPr>
          <w:t>5 mm</w:t>
        </w:r>
      </w:smartTag>
      <w:r w:rsidRPr="00E732EF">
        <w:rPr>
          <w:rFonts w:ascii="Times New Roman" w:eastAsia="Calibri" w:hAnsi="Times New Roman" w:cs="Times New Roman"/>
          <w:noProof/>
        </w:rPr>
        <w:t xml:space="preserve">, a pada s kišnim pljuskom. Na meteorološkim postajama bilježi se uz tuču i sugradicu pojava ledenih zrna u hladnom dijelu godine. Ledena zrna su smrznute kišne kapljice ili snježne pahuljice promjera oko </w:t>
      </w:r>
      <w:smartTag w:uri="urn:schemas-microsoft-com:office:smarttags" w:element="metricconverter">
        <w:smartTagPr>
          <w:attr w:name="ProductID" w:val="5 mm"/>
        </w:smartTagPr>
        <w:r w:rsidRPr="00E732EF">
          <w:rPr>
            <w:rFonts w:ascii="Times New Roman" w:eastAsia="Calibri" w:hAnsi="Times New Roman" w:cs="Times New Roman"/>
            <w:noProof/>
          </w:rPr>
          <w:t>5 mm</w:t>
        </w:r>
      </w:smartTag>
      <w:r w:rsidRPr="00E732EF">
        <w:rPr>
          <w:rFonts w:ascii="Times New Roman" w:eastAsia="Calibri" w:hAnsi="Times New Roman" w:cs="Times New Roman"/>
          <w:noProof/>
        </w:rPr>
        <w:t xml:space="preserve">, koja padaju pri temperaturi oko ili ispod </w:t>
      </w:r>
      <w:smartTag w:uri="urn:schemas-microsoft-com:office:smarttags" w:element="metricconverter">
        <w:smartTagPr>
          <w:attr w:name="ProductID" w:val="00C"/>
        </w:smartTagPr>
        <w:r w:rsidRPr="00E732EF">
          <w:rPr>
            <w:rFonts w:ascii="Times New Roman" w:eastAsia="Calibri" w:hAnsi="Times New Roman" w:cs="Times New Roman"/>
            <w:noProof/>
          </w:rPr>
          <w:t>0</w:t>
        </w:r>
        <w:r w:rsidRPr="00E732EF">
          <w:rPr>
            <w:rFonts w:ascii="Times New Roman" w:eastAsia="Calibri" w:hAnsi="Times New Roman" w:cs="Times New Roman"/>
            <w:noProof/>
            <w:vertAlign w:val="superscript"/>
          </w:rPr>
          <w:t>0</w:t>
        </w:r>
        <w:r w:rsidRPr="00E732EF">
          <w:rPr>
            <w:rFonts w:ascii="Times New Roman" w:eastAsia="Calibri" w:hAnsi="Times New Roman" w:cs="Times New Roman"/>
            <w:noProof/>
          </w:rPr>
          <w:t>C</w:t>
        </w:r>
      </w:smartTag>
      <w:r w:rsidRPr="00E732EF">
        <w:rPr>
          <w:rFonts w:ascii="Times New Roman" w:eastAsia="Calibri" w:hAnsi="Times New Roman" w:cs="Times New Roman"/>
          <w:noProof/>
        </w:rPr>
        <w:t>.</w:t>
      </w:r>
      <w:r w:rsidRPr="00E732EF">
        <w:rPr>
          <w:rFonts w:ascii="Times New Roman" w:eastAsia="Calibri" w:hAnsi="Times New Roman" w:cs="Times New Roman"/>
          <w:noProof/>
          <w:color w:val="FF0000"/>
        </w:rPr>
        <w:t xml:space="preserve"> </w:t>
      </w:r>
      <w:r w:rsidRPr="00E732EF">
        <w:rPr>
          <w:rFonts w:ascii="Times New Roman" w:eastAsia="Calibri" w:hAnsi="Times New Roman" w:cs="Times New Roman"/>
          <w:noProof/>
        </w:rPr>
        <w:t>Pojave tuča, sugradica i ledena zrna zajedničkim imenom zovu se kruta oborina. Svojim intenzitetom nanose velike štete pokretnoj i nepokretnoj imovini kao i poljoprivredi. Da bi se zaštitile poljoprivredne površine i smanjile štete nastale od tuče, prije više od 30 godina u kontinentalnom dijelu Hrvatske osnovana je obrana od tuče. Državni hidrometeorološki zavod provodi obranu od tuče na ukupnoj površini od 24 100 km</w:t>
      </w:r>
      <w:r w:rsidRPr="00E732EF">
        <w:rPr>
          <w:rFonts w:ascii="Times New Roman" w:eastAsia="Calibri" w:hAnsi="Times New Roman" w:cs="Times New Roman"/>
          <w:noProof/>
          <w:vertAlign w:val="superscript"/>
        </w:rPr>
        <w:t>2</w:t>
      </w:r>
      <w:r w:rsidRPr="00E732EF">
        <w:rPr>
          <w:rFonts w:ascii="Times New Roman" w:eastAsia="Calibri" w:hAnsi="Times New Roman" w:cs="Times New Roman"/>
          <w:noProof/>
        </w:rPr>
        <w:t>. Sezona obrane od tuče traje od 1. svibnja do 30. rujna kada tuča može prouzročiti velike štete na poljoprivrednim  kulturama i ostaloj imovini. Operativna obrana provodi se pomoću raketa, a od 1995. i prizemnim generatorima, na osam Radarskih centara (RC). Svaki centar odgovoran je za svoj dio branjenog područja.</w:t>
      </w:r>
    </w:p>
    <w:p w14:paraId="3D87DB7F"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lastRenderedPageBreak/>
        <w:t xml:space="preserve">Radarski centar Varaždin pokriva područje Međimurske županije na kojem se 2003. godine nalazilo 23 lansirnih postaja za obranu od tuče (slika 4). Sve postaje raspolažu sa prizemnim  generatorima, a njih 12 imaju i rakete. </w:t>
      </w:r>
    </w:p>
    <w:p w14:paraId="1FFC721A"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 xml:space="preserve">Analiza srednjeg broja dana s tučom i/ili sugradicom izrađena je pomoću podataka s lansirnih postaja koje su neprekidno radile u razdoblju 1981–2000. Na slici je  prikazana i prostorna raspodjela srednjeg broja dana s pojavom tuče i/ili sugradice za vrijeme sezone obrane od tuče u 20-godišnjem razdoblju. Za Međimursku županiju analizirano je 9 lansirnih postaja koje su imale kontinuirani niz podataka s tom pojavom. </w:t>
      </w:r>
    </w:p>
    <w:p w14:paraId="32B2168E"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Na promatranom području u prosjeku najveći broj dana s tučom i/ili sugradicom za vrijeme sezone obrane od tuče zabilježen je na dva područja. Na sjevernom dijelu Županije to je područje oko sela Jurovčak do državne granice sa Slovenijom, a na sjeveroistočnom dijelu područje oko sela Domašinec do državne granice s Mađarskom.</w:t>
      </w:r>
    </w:p>
    <w:p w14:paraId="75180785"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Na osnovi podataka o pojavi tuče i štete sa svih lansirnih postaja koje su radile u razdoblju 1981–2000. izrađena je prostorna karta indeksa ugroženosti od tuče branjenog područja Hrvatske za razdoblje od 1. svibnja do 30. rujna. Indeks je funkcija srednjeg broja dana s krutom oborinom i broja slučajeva sa štetom većom od 50%, a svrha mu je prikaz područja u kojima tuča i/ili sugradica najčešće uzrokuju štetu.</w:t>
      </w:r>
    </w:p>
    <w:p w14:paraId="35E57387" w14:textId="77777777" w:rsidR="00E732EF" w:rsidRPr="00E732EF" w:rsidRDefault="00E732EF" w:rsidP="00E732EF">
      <w:pPr>
        <w:spacing w:after="0" w:line="240" w:lineRule="auto"/>
        <w:jc w:val="both"/>
        <w:rPr>
          <w:rFonts w:ascii="Times New Roman" w:eastAsia="Calibri" w:hAnsi="Times New Roman" w:cs="Times New Roman"/>
          <w:noProof/>
        </w:rPr>
      </w:pPr>
    </w:p>
    <w:p w14:paraId="3E8DBF69"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Slika  4: Prostorna raspodjela srednjeg broja dana s tučom i/ili sugradicom za vrijeme sezone obrane od tuče, Međimurska županija, 1981.-2000.godine</w:t>
      </w:r>
    </w:p>
    <w:p w14:paraId="5EF4EFEA" w14:textId="77777777" w:rsidR="00E732EF" w:rsidRPr="00E732EF" w:rsidRDefault="00E732EF" w:rsidP="00E732EF">
      <w:pPr>
        <w:spacing w:after="0" w:line="240" w:lineRule="auto"/>
        <w:jc w:val="both"/>
        <w:rPr>
          <w:rFonts w:ascii="Times New Roman" w:eastAsia="Calibri" w:hAnsi="Times New Roman" w:cs="Times New Roman"/>
          <w:noProof/>
        </w:rPr>
      </w:pPr>
      <w:r>
        <w:rPr>
          <w:rFonts w:ascii="Times New Roman" w:eastAsia="Calibri" w:hAnsi="Times New Roman" w:cs="Times New Roman"/>
          <w:noProof/>
          <w:lang w:eastAsia="hr-HR"/>
        </w:rPr>
        <w:drawing>
          <wp:inline distT="0" distB="0" distL="0" distR="0" wp14:anchorId="0796B6A9" wp14:editId="3BEA15E3">
            <wp:extent cx="4796155" cy="3019425"/>
            <wp:effectExtent l="0" t="0" r="4445" b="9525"/>
            <wp:docPr id="11" name="Slika 11"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96155" cy="3019425"/>
                    </a:xfrm>
                    <a:prstGeom prst="rect">
                      <a:avLst/>
                    </a:prstGeom>
                    <a:noFill/>
                    <a:ln>
                      <a:noFill/>
                    </a:ln>
                  </pic:spPr>
                </pic:pic>
              </a:graphicData>
            </a:graphic>
          </wp:inline>
        </w:drawing>
      </w:r>
    </w:p>
    <w:p w14:paraId="75A4DCDD" w14:textId="77777777" w:rsidR="00E732EF" w:rsidRPr="00E732EF" w:rsidRDefault="00E732EF" w:rsidP="00E732EF">
      <w:pPr>
        <w:spacing w:after="0" w:line="240" w:lineRule="auto"/>
        <w:jc w:val="both"/>
        <w:rPr>
          <w:rFonts w:ascii="Times New Roman" w:eastAsia="Calibri" w:hAnsi="Times New Roman" w:cs="Times New Roman"/>
          <w:noProof/>
        </w:rPr>
      </w:pPr>
    </w:p>
    <w:p w14:paraId="50BA09F6"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Tablica 5: Godišnjih hod odabranog meteorološkog parametra (Sv.Juraj na Bregu), 1995.-2005.godine</w:t>
      </w:r>
    </w:p>
    <w:tbl>
      <w:tblPr>
        <w:tblW w:w="9246" w:type="dxa"/>
        <w:jc w:val="center"/>
        <w:tblBorders>
          <w:top w:val="single" w:sz="18" w:space="0" w:color="auto"/>
          <w:left w:val="single" w:sz="18" w:space="0" w:color="auto"/>
          <w:bottom w:val="single" w:sz="18" w:space="0" w:color="auto"/>
          <w:right w:val="single" w:sz="18" w:space="0" w:color="auto"/>
        </w:tblBorders>
        <w:tblLayout w:type="fixed"/>
        <w:tblCellMar>
          <w:left w:w="0" w:type="dxa"/>
          <w:right w:w="0" w:type="dxa"/>
        </w:tblCellMar>
        <w:tblLook w:val="0000" w:firstRow="0" w:lastRow="0" w:firstColumn="0" w:lastColumn="0" w:noHBand="0" w:noVBand="0"/>
      </w:tblPr>
      <w:tblGrid>
        <w:gridCol w:w="1021"/>
        <w:gridCol w:w="624"/>
        <w:gridCol w:w="624"/>
        <w:gridCol w:w="624"/>
        <w:gridCol w:w="624"/>
        <w:gridCol w:w="624"/>
        <w:gridCol w:w="624"/>
        <w:gridCol w:w="624"/>
        <w:gridCol w:w="624"/>
        <w:gridCol w:w="624"/>
        <w:gridCol w:w="624"/>
        <w:gridCol w:w="624"/>
        <w:gridCol w:w="624"/>
        <w:gridCol w:w="737"/>
      </w:tblGrid>
      <w:tr w:rsidR="00E732EF" w:rsidRPr="00E732EF" w14:paraId="3A1C14D2" w14:textId="77777777" w:rsidTr="00E732EF">
        <w:trPr>
          <w:trHeight w:hRule="exact" w:val="340"/>
          <w:jc w:val="center"/>
        </w:trPr>
        <w:tc>
          <w:tcPr>
            <w:tcW w:w="1021" w:type="dxa"/>
            <w:tcBorders>
              <w:top w:val="double" w:sz="4" w:space="0" w:color="auto"/>
              <w:left w:val="double" w:sz="6" w:space="0" w:color="auto"/>
              <w:bottom w:val="double" w:sz="6" w:space="0" w:color="auto"/>
              <w:right w:val="double" w:sz="4" w:space="0" w:color="auto"/>
            </w:tcBorders>
            <w:vAlign w:val="center"/>
          </w:tcPr>
          <w:p w14:paraId="0C1D0FFE"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MJESECI</w:t>
            </w:r>
          </w:p>
        </w:tc>
        <w:tc>
          <w:tcPr>
            <w:tcW w:w="624" w:type="dxa"/>
            <w:tcBorders>
              <w:top w:val="double" w:sz="4" w:space="0" w:color="auto"/>
              <w:left w:val="nil"/>
              <w:bottom w:val="double" w:sz="6" w:space="0" w:color="auto"/>
              <w:right w:val="single" w:sz="6" w:space="0" w:color="auto"/>
            </w:tcBorders>
            <w:vAlign w:val="center"/>
          </w:tcPr>
          <w:p w14:paraId="51FB2CC8"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1</w:t>
            </w:r>
          </w:p>
        </w:tc>
        <w:tc>
          <w:tcPr>
            <w:tcW w:w="624" w:type="dxa"/>
            <w:tcBorders>
              <w:top w:val="double" w:sz="4" w:space="0" w:color="auto"/>
              <w:left w:val="nil"/>
              <w:bottom w:val="double" w:sz="6" w:space="0" w:color="auto"/>
              <w:right w:val="nil"/>
            </w:tcBorders>
            <w:vAlign w:val="center"/>
          </w:tcPr>
          <w:p w14:paraId="2BF1E6A0"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2</w:t>
            </w:r>
          </w:p>
        </w:tc>
        <w:tc>
          <w:tcPr>
            <w:tcW w:w="624" w:type="dxa"/>
            <w:tcBorders>
              <w:top w:val="double" w:sz="4" w:space="0" w:color="auto"/>
              <w:left w:val="single" w:sz="6" w:space="0" w:color="auto"/>
              <w:bottom w:val="double" w:sz="6" w:space="0" w:color="auto"/>
              <w:right w:val="single" w:sz="6" w:space="0" w:color="auto"/>
            </w:tcBorders>
            <w:vAlign w:val="center"/>
          </w:tcPr>
          <w:p w14:paraId="7A29462A"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3</w:t>
            </w:r>
          </w:p>
        </w:tc>
        <w:tc>
          <w:tcPr>
            <w:tcW w:w="624" w:type="dxa"/>
            <w:tcBorders>
              <w:top w:val="double" w:sz="4" w:space="0" w:color="auto"/>
              <w:left w:val="nil"/>
              <w:bottom w:val="double" w:sz="6" w:space="0" w:color="auto"/>
              <w:right w:val="nil"/>
            </w:tcBorders>
            <w:vAlign w:val="center"/>
          </w:tcPr>
          <w:p w14:paraId="1C75A262"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4</w:t>
            </w:r>
          </w:p>
        </w:tc>
        <w:tc>
          <w:tcPr>
            <w:tcW w:w="624" w:type="dxa"/>
            <w:tcBorders>
              <w:top w:val="double" w:sz="4" w:space="0" w:color="auto"/>
              <w:left w:val="single" w:sz="6" w:space="0" w:color="auto"/>
              <w:bottom w:val="double" w:sz="6" w:space="0" w:color="auto"/>
              <w:right w:val="single" w:sz="6" w:space="0" w:color="auto"/>
            </w:tcBorders>
            <w:vAlign w:val="center"/>
          </w:tcPr>
          <w:p w14:paraId="67E35D72"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5</w:t>
            </w:r>
          </w:p>
        </w:tc>
        <w:tc>
          <w:tcPr>
            <w:tcW w:w="624" w:type="dxa"/>
            <w:tcBorders>
              <w:top w:val="double" w:sz="4" w:space="0" w:color="auto"/>
              <w:left w:val="nil"/>
              <w:bottom w:val="double" w:sz="6" w:space="0" w:color="auto"/>
              <w:right w:val="nil"/>
            </w:tcBorders>
            <w:vAlign w:val="center"/>
          </w:tcPr>
          <w:p w14:paraId="1884C212"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6</w:t>
            </w:r>
          </w:p>
        </w:tc>
        <w:tc>
          <w:tcPr>
            <w:tcW w:w="624" w:type="dxa"/>
            <w:tcBorders>
              <w:top w:val="double" w:sz="4" w:space="0" w:color="auto"/>
              <w:left w:val="single" w:sz="6" w:space="0" w:color="auto"/>
              <w:bottom w:val="double" w:sz="6" w:space="0" w:color="auto"/>
              <w:right w:val="single" w:sz="6" w:space="0" w:color="auto"/>
            </w:tcBorders>
            <w:vAlign w:val="center"/>
          </w:tcPr>
          <w:p w14:paraId="3815F658"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7</w:t>
            </w:r>
          </w:p>
        </w:tc>
        <w:tc>
          <w:tcPr>
            <w:tcW w:w="624" w:type="dxa"/>
            <w:tcBorders>
              <w:top w:val="double" w:sz="4" w:space="0" w:color="auto"/>
              <w:left w:val="nil"/>
              <w:bottom w:val="double" w:sz="6" w:space="0" w:color="auto"/>
              <w:right w:val="nil"/>
            </w:tcBorders>
            <w:vAlign w:val="center"/>
          </w:tcPr>
          <w:p w14:paraId="3D986496"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8</w:t>
            </w:r>
          </w:p>
        </w:tc>
        <w:tc>
          <w:tcPr>
            <w:tcW w:w="624" w:type="dxa"/>
            <w:tcBorders>
              <w:top w:val="double" w:sz="4" w:space="0" w:color="auto"/>
              <w:left w:val="single" w:sz="6" w:space="0" w:color="auto"/>
              <w:bottom w:val="double" w:sz="6" w:space="0" w:color="auto"/>
              <w:right w:val="single" w:sz="6" w:space="0" w:color="auto"/>
            </w:tcBorders>
            <w:vAlign w:val="center"/>
          </w:tcPr>
          <w:p w14:paraId="1A57A76F"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9</w:t>
            </w:r>
          </w:p>
        </w:tc>
        <w:tc>
          <w:tcPr>
            <w:tcW w:w="624" w:type="dxa"/>
            <w:tcBorders>
              <w:top w:val="double" w:sz="4" w:space="0" w:color="auto"/>
              <w:left w:val="nil"/>
              <w:bottom w:val="double" w:sz="6" w:space="0" w:color="auto"/>
              <w:right w:val="nil"/>
            </w:tcBorders>
            <w:vAlign w:val="center"/>
          </w:tcPr>
          <w:p w14:paraId="2FBF181B"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10</w:t>
            </w:r>
          </w:p>
        </w:tc>
        <w:tc>
          <w:tcPr>
            <w:tcW w:w="624" w:type="dxa"/>
            <w:tcBorders>
              <w:top w:val="double" w:sz="4" w:space="0" w:color="auto"/>
              <w:left w:val="single" w:sz="6" w:space="0" w:color="auto"/>
              <w:bottom w:val="double" w:sz="6" w:space="0" w:color="auto"/>
              <w:right w:val="single" w:sz="6" w:space="0" w:color="auto"/>
            </w:tcBorders>
            <w:vAlign w:val="center"/>
          </w:tcPr>
          <w:p w14:paraId="510C81EC"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11</w:t>
            </w:r>
          </w:p>
        </w:tc>
        <w:tc>
          <w:tcPr>
            <w:tcW w:w="624" w:type="dxa"/>
            <w:tcBorders>
              <w:top w:val="double" w:sz="4" w:space="0" w:color="auto"/>
              <w:left w:val="nil"/>
              <w:bottom w:val="double" w:sz="6" w:space="0" w:color="auto"/>
              <w:right w:val="nil"/>
            </w:tcBorders>
            <w:vAlign w:val="center"/>
          </w:tcPr>
          <w:p w14:paraId="67E12AD3"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12</w:t>
            </w:r>
          </w:p>
        </w:tc>
        <w:tc>
          <w:tcPr>
            <w:tcW w:w="737" w:type="dxa"/>
            <w:tcBorders>
              <w:top w:val="double" w:sz="4" w:space="0" w:color="auto"/>
              <w:left w:val="double" w:sz="4" w:space="0" w:color="auto"/>
              <w:bottom w:val="double" w:sz="6" w:space="0" w:color="auto"/>
              <w:right w:val="double" w:sz="6" w:space="0" w:color="auto"/>
            </w:tcBorders>
            <w:vAlign w:val="center"/>
          </w:tcPr>
          <w:p w14:paraId="4434D6AA" w14:textId="77777777" w:rsidR="00E732EF" w:rsidRPr="00E732EF" w:rsidRDefault="00E732EF" w:rsidP="00E732EF">
            <w:pPr>
              <w:spacing w:after="0" w:line="240" w:lineRule="auto"/>
              <w:jc w:val="center"/>
              <w:rPr>
                <w:rFonts w:ascii="Arial" w:eastAsia="Times New Roman" w:hAnsi="Arial" w:cs="Arial"/>
                <w:b/>
                <w:noProof/>
                <w:sz w:val="18"/>
                <w:szCs w:val="20"/>
              </w:rPr>
            </w:pPr>
            <w:r w:rsidRPr="00E732EF">
              <w:rPr>
                <w:rFonts w:ascii="Arial" w:eastAsia="Times New Roman" w:hAnsi="Arial" w:cs="Arial"/>
                <w:b/>
                <w:noProof/>
                <w:sz w:val="18"/>
                <w:szCs w:val="20"/>
              </w:rPr>
              <w:t>GOD</w:t>
            </w:r>
          </w:p>
        </w:tc>
      </w:tr>
      <w:tr w:rsidR="00E732EF" w:rsidRPr="00E732EF" w14:paraId="52D71C4D" w14:textId="77777777" w:rsidTr="00E732EF">
        <w:trPr>
          <w:trHeight w:val="249"/>
          <w:jc w:val="center"/>
        </w:trPr>
        <w:tc>
          <w:tcPr>
            <w:tcW w:w="9246" w:type="dxa"/>
            <w:gridSpan w:val="14"/>
            <w:tcBorders>
              <w:top w:val="double" w:sz="4" w:space="0" w:color="auto"/>
              <w:left w:val="double" w:sz="6" w:space="0" w:color="auto"/>
              <w:bottom w:val="single" w:sz="2" w:space="0" w:color="auto"/>
              <w:right w:val="double" w:sz="6" w:space="0" w:color="auto"/>
            </w:tcBorders>
            <w:shd w:val="clear" w:color="auto" w:fill="DBE5F1"/>
            <w:vAlign w:val="center"/>
          </w:tcPr>
          <w:p w14:paraId="625786B1" w14:textId="77777777" w:rsidR="00E732EF" w:rsidRPr="00E732EF" w:rsidRDefault="00E732EF" w:rsidP="00E732EF">
            <w:pPr>
              <w:spacing w:after="0" w:line="240" w:lineRule="auto"/>
              <w:ind w:right="113"/>
              <w:jc w:val="center"/>
              <w:rPr>
                <w:rFonts w:ascii="Arial" w:eastAsia="Times New Roman" w:hAnsi="Arial" w:cs="Arial"/>
                <w:b/>
                <w:noProof/>
                <w:snapToGrid w:val="0"/>
                <w:color w:val="000000"/>
                <w:sz w:val="18"/>
                <w:szCs w:val="20"/>
              </w:rPr>
            </w:pPr>
            <w:r w:rsidRPr="00E732EF">
              <w:rPr>
                <w:rFonts w:ascii="Arial" w:eastAsia="Times New Roman" w:hAnsi="Arial" w:cs="Arial"/>
                <w:b/>
                <w:noProof/>
                <w:snapToGrid w:val="0"/>
                <w:color w:val="000000"/>
                <w:sz w:val="18"/>
                <w:szCs w:val="20"/>
              </w:rPr>
              <w:t>BROJ DANA S TUČOM</w:t>
            </w:r>
          </w:p>
        </w:tc>
      </w:tr>
      <w:tr w:rsidR="00E732EF" w:rsidRPr="00E732EF" w14:paraId="4595020E" w14:textId="77777777" w:rsidTr="00E732EF">
        <w:trPr>
          <w:trHeight w:val="249"/>
          <w:jc w:val="center"/>
        </w:trPr>
        <w:tc>
          <w:tcPr>
            <w:tcW w:w="1021" w:type="dxa"/>
            <w:tcBorders>
              <w:top w:val="double" w:sz="4" w:space="0" w:color="auto"/>
              <w:left w:val="double" w:sz="6" w:space="0" w:color="auto"/>
              <w:bottom w:val="single" w:sz="2" w:space="0" w:color="auto"/>
              <w:right w:val="double" w:sz="4" w:space="0" w:color="auto"/>
            </w:tcBorders>
            <w:vAlign w:val="center"/>
          </w:tcPr>
          <w:p w14:paraId="2165944F"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SRED</w:t>
            </w:r>
          </w:p>
        </w:tc>
        <w:tc>
          <w:tcPr>
            <w:tcW w:w="624" w:type="dxa"/>
            <w:tcBorders>
              <w:top w:val="double" w:sz="4" w:space="0" w:color="auto"/>
              <w:left w:val="nil"/>
              <w:bottom w:val="single" w:sz="2" w:space="0" w:color="auto"/>
              <w:right w:val="single" w:sz="6" w:space="0" w:color="auto"/>
            </w:tcBorders>
            <w:vAlign w:val="center"/>
          </w:tcPr>
          <w:p w14:paraId="50F76879"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0.1</w:t>
            </w:r>
          </w:p>
        </w:tc>
        <w:tc>
          <w:tcPr>
            <w:tcW w:w="624" w:type="dxa"/>
            <w:tcBorders>
              <w:top w:val="double" w:sz="4" w:space="0" w:color="auto"/>
              <w:left w:val="nil"/>
              <w:bottom w:val="single" w:sz="2" w:space="0" w:color="auto"/>
              <w:right w:val="nil"/>
            </w:tcBorders>
            <w:vAlign w:val="center"/>
          </w:tcPr>
          <w:p w14:paraId="3E6FD8A0"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double" w:sz="4" w:space="0" w:color="auto"/>
              <w:left w:val="single" w:sz="6" w:space="0" w:color="auto"/>
              <w:bottom w:val="single" w:sz="2" w:space="0" w:color="auto"/>
              <w:right w:val="single" w:sz="6" w:space="0" w:color="auto"/>
            </w:tcBorders>
            <w:vAlign w:val="center"/>
          </w:tcPr>
          <w:p w14:paraId="63D656D4"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0.1</w:t>
            </w:r>
          </w:p>
        </w:tc>
        <w:tc>
          <w:tcPr>
            <w:tcW w:w="624" w:type="dxa"/>
            <w:tcBorders>
              <w:top w:val="double" w:sz="4" w:space="0" w:color="auto"/>
              <w:left w:val="nil"/>
              <w:bottom w:val="single" w:sz="2" w:space="0" w:color="auto"/>
              <w:right w:val="nil"/>
            </w:tcBorders>
            <w:vAlign w:val="center"/>
          </w:tcPr>
          <w:p w14:paraId="30CDE1A7"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0.1</w:t>
            </w:r>
          </w:p>
        </w:tc>
        <w:tc>
          <w:tcPr>
            <w:tcW w:w="624" w:type="dxa"/>
            <w:tcBorders>
              <w:top w:val="double" w:sz="4" w:space="0" w:color="auto"/>
              <w:left w:val="single" w:sz="6" w:space="0" w:color="auto"/>
              <w:bottom w:val="single" w:sz="2" w:space="0" w:color="auto"/>
              <w:right w:val="single" w:sz="6" w:space="0" w:color="auto"/>
            </w:tcBorders>
            <w:vAlign w:val="center"/>
          </w:tcPr>
          <w:p w14:paraId="655686F4"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0.1</w:t>
            </w:r>
          </w:p>
        </w:tc>
        <w:tc>
          <w:tcPr>
            <w:tcW w:w="624" w:type="dxa"/>
            <w:tcBorders>
              <w:top w:val="double" w:sz="4" w:space="0" w:color="auto"/>
              <w:left w:val="nil"/>
              <w:bottom w:val="single" w:sz="2" w:space="0" w:color="auto"/>
              <w:right w:val="nil"/>
            </w:tcBorders>
            <w:vAlign w:val="center"/>
          </w:tcPr>
          <w:p w14:paraId="43841CD3"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0.3</w:t>
            </w:r>
          </w:p>
        </w:tc>
        <w:tc>
          <w:tcPr>
            <w:tcW w:w="624" w:type="dxa"/>
            <w:tcBorders>
              <w:top w:val="double" w:sz="4" w:space="0" w:color="auto"/>
              <w:left w:val="single" w:sz="6" w:space="0" w:color="auto"/>
              <w:bottom w:val="single" w:sz="2" w:space="0" w:color="auto"/>
              <w:right w:val="single" w:sz="6" w:space="0" w:color="auto"/>
            </w:tcBorders>
            <w:vAlign w:val="center"/>
          </w:tcPr>
          <w:p w14:paraId="3E52B0DB"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0.1</w:t>
            </w:r>
          </w:p>
        </w:tc>
        <w:tc>
          <w:tcPr>
            <w:tcW w:w="624" w:type="dxa"/>
            <w:tcBorders>
              <w:top w:val="double" w:sz="4" w:space="0" w:color="auto"/>
              <w:left w:val="nil"/>
              <w:bottom w:val="single" w:sz="2" w:space="0" w:color="auto"/>
              <w:right w:val="nil"/>
            </w:tcBorders>
            <w:vAlign w:val="center"/>
          </w:tcPr>
          <w:p w14:paraId="0557921C"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double" w:sz="4" w:space="0" w:color="auto"/>
              <w:left w:val="single" w:sz="6" w:space="0" w:color="auto"/>
              <w:bottom w:val="single" w:sz="2" w:space="0" w:color="auto"/>
              <w:right w:val="single" w:sz="6" w:space="0" w:color="auto"/>
            </w:tcBorders>
            <w:vAlign w:val="center"/>
          </w:tcPr>
          <w:p w14:paraId="0B8CF9C4"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0.1</w:t>
            </w:r>
          </w:p>
        </w:tc>
        <w:tc>
          <w:tcPr>
            <w:tcW w:w="624" w:type="dxa"/>
            <w:tcBorders>
              <w:top w:val="double" w:sz="4" w:space="0" w:color="auto"/>
              <w:left w:val="nil"/>
              <w:bottom w:val="single" w:sz="2" w:space="0" w:color="auto"/>
              <w:right w:val="nil"/>
            </w:tcBorders>
            <w:vAlign w:val="center"/>
          </w:tcPr>
          <w:p w14:paraId="3A569385"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double" w:sz="4" w:space="0" w:color="auto"/>
              <w:left w:val="single" w:sz="6" w:space="0" w:color="auto"/>
              <w:bottom w:val="single" w:sz="2" w:space="0" w:color="auto"/>
              <w:right w:val="single" w:sz="6" w:space="0" w:color="auto"/>
            </w:tcBorders>
            <w:vAlign w:val="center"/>
          </w:tcPr>
          <w:p w14:paraId="26661B74"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double" w:sz="4" w:space="0" w:color="auto"/>
              <w:left w:val="nil"/>
              <w:bottom w:val="single" w:sz="2" w:space="0" w:color="auto"/>
              <w:right w:val="nil"/>
            </w:tcBorders>
            <w:vAlign w:val="center"/>
          </w:tcPr>
          <w:p w14:paraId="3637E537"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0.1</w:t>
            </w:r>
          </w:p>
        </w:tc>
        <w:tc>
          <w:tcPr>
            <w:tcW w:w="737" w:type="dxa"/>
            <w:tcBorders>
              <w:top w:val="double" w:sz="4" w:space="0" w:color="auto"/>
              <w:left w:val="double" w:sz="4" w:space="0" w:color="auto"/>
              <w:bottom w:val="single" w:sz="2" w:space="0" w:color="auto"/>
              <w:right w:val="double" w:sz="6" w:space="0" w:color="auto"/>
            </w:tcBorders>
            <w:vAlign w:val="center"/>
          </w:tcPr>
          <w:p w14:paraId="1961520A"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0.8</w:t>
            </w:r>
          </w:p>
        </w:tc>
      </w:tr>
      <w:tr w:rsidR="00E732EF" w:rsidRPr="00E732EF" w14:paraId="0CACB43B" w14:textId="77777777" w:rsidTr="00E732EF">
        <w:trPr>
          <w:trHeight w:val="249"/>
          <w:jc w:val="center"/>
        </w:trPr>
        <w:tc>
          <w:tcPr>
            <w:tcW w:w="1021" w:type="dxa"/>
            <w:tcBorders>
              <w:top w:val="single" w:sz="2" w:space="0" w:color="auto"/>
              <w:left w:val="double" w:sz="6" w:space="0" w:color="auto"/>
              <w:bottom w:val="single" w:sz="2" w:space="0" w:color="auto"/>
              <w:right w:val="double" w:sz="4" w:space="0" w:color="auto"/>
            </w:tcBorders>
            <w:vAlign w:val="center"/>
          </w:tcPr>
          <w:p w14:paraId="007CA450"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STD</w:t>
            </w:r>
          </w:p>
        </w:tc>
        <w:tc>
          <w:tcPr>
            <w:tcW w:w="624" w:type="dxa"/>
            <w:tcBorders>
              <w:top w:val="single" w:sz="2" w:space="0" w:color="auto"/>
              <w:left w:val="nil"/>
              <w:bottom w:val="single" w:sz="2" w:space="0" w:color="auto"/>
              <w:right w:val="single" w:sz="6" w:space="0" w:color="auto"/>
            </w:tcBorders>
            <w:vAlign w:val="center"/>
          </w:tcPr>
          <w:p w14:paraId="48B840A4"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0.2</w:t>
            </w:r>
          </w:p>
        </w:tc>
        <w:tc>
          <w:tcPr>
            <w:tcW w:w="624" w:type="dxa"/>
            <w:tcBorders>
              <w:top w:val="single" w:sz="2" w:space="0" w:color="auto"/>
              <w:left w:val="single" w:sz="6" w:space="0" w:color="auto"/>
              <w:bottom w:val="single" w:sz="2" w:space="0" w:color="auto"/>
              <w:right w:val="single" w:sz="6" w:space="0" w:color="auto"/>
            </w:tcBorders>
            <w:vAlign w:val="center"/>
          </w:tcPr>
          <w:p w14:paraId="5F94BA87"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single" w:sz="2" w:space="0" w:color="auto"/>
              <w:left w:val="single" w:sz="6" w:space="0" w:color="auto"/>
              <w:bottom w:val="single" w:sz="2" w:space="0" w:color="auto"/>
              <w:right w:val="single" w:sz="6" w:space="0" w:color="auto"/>
            </w:tcBorders>
            <w:vAlign w:val="center"/>
          </w:tcPr>
          <w:p w14:paraId="67C4C85F"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0.3</w:t>
            </w:r>
          </w:p>
        </w:tc>
        <w:tc>
          <w:tcPr>
            <w:tcW w:w="624" w:type="dxa"/>
            <w:tcBorders>
              <w:top w:val="single" w:sz="2" w:space="0" w:color="auto"/>
              <w:left w:val="single" w:sz="6" w:space="0" w:color="auto"/>
              <w:bottom w:val="single" w:sz="2" w:space="0" w:color="auto"/>
              <w:right w:val="single" w:sz="6" w:space="0" w:color="auto"/>
            </w:tcBorders>
            <w:vAlign w:val="center"/>
          </w:tcPr>
          <w:p w14:paraId="0347E3F8"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0.3</w:t>
            </w:r>
          </w:p>
        </w:tc>
        <w:tc>
          <w:tcPr>
            <w:tcW w:w="624" w:type="dxa"/>
            <w:tcBorders>
              <w:top w:val="single" w:sz="2" w:space="0" w:color="auto"/>
              <w:left w:val="single" w:sz="6" w:space="0" w:color="auto"/>
              <w:bottom w:val="single" w:sz="2" w:space="0" w:color="auto"/>
              <w:right w:val="single" w:sz="6" w:space="0" w:color="auto"/>
            </w:tcBorders>
            <w:vAlign w:val="center"/>
          </w:tcPr>
          <w:p w14:paraId="78015371"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0.2</w:t>
            </w:r>
          </w:p>
        </w:tc>
        <w:tc>
          <w:tcPr>
            <w:tcW w:w="624" w:type="dxa"/>
            <w:tcBorders>
              <w:top w:val="single" w:sz="2" w:space="0" w:color="auto"/>
              <w:left w:val="single" w:sz="6" w:space="0" w:color="auto"/>
              <w:bottom w:val="single" w:sz="2" w:space="0" w:color="auto"/>
              <w:right w:val="single" w:sz="6" w:space="0" w:color="auto"/>
            </w:tcBorders>
            <w:vAlign w:val="center"/>
          </w:tcPr>
          <w:p w14:paraId="65EB18A7"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0.6</w:t>
            </w:r>
          </w:p>
        </w:tc>
        <w:tc>
          <w:tcPr>
            <w:tcW w:w="624" w:type="dxa"/>
            <w:tcBorders>
              <w:top w:val="single" w:sz="2" w:space="0" w:color="auto"/>
              <w:left w:val="single" w:sz="6" w:space="0" w:color="auto"/>
              <w:bottom w:val="single" w:sz="2" w:space="0" w:color="auto"/>
              <w:right w:val="single" w:sz="6" w:space="0" w:color="auto"/>
            </w:tcBorders>
            <w:vAlign w:val="center"/>
          </w:tcPr>
          <w:p w14:paraId="071DA027"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0.2</w:t>
            </w:r>
          </w:p>
        </w:tc>
        <w:tc>
          <w:tcPr>
            <w:tcW w:w="624" w:type="dxa"/>
            <w:tcBorders>
              <w:top w:val="single" w:sz="2" w:space="0" w:color="auto"/>
              <w:left w:val="single" w:sz="6" w:space="0" w:color="auto"/>
              <w:bottom w:val="single" w:sz="2" w:space="0" w:color="auto"/>
              <w:right w:val="single" w:sz="6" w:space="0" w:color="auto"/>
            </w:tcBorders>
            <w:vAlign w:val="center"/>
          </w:tcPr>
          <w:p w14:paraId="1695B7B6"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single" w:sz="2" w:space="0" w:color="auto"/>
              <w:left w:val="single" w:sz="6" w:space="0" w:color="auto"/>
              <w:bottom w:val="single" w:sz="2" w:space="0" w:color="auto"/>
              <w:right w:val="single" w:sz="6" w:space="0" w:color="auto"/>
            </w:tcBorders>
            <w:vAlign w:val="center"/>
          </w:tcPr>
          <w:p w14:paraId="08B575CC"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0.3</w:t>
            </w:r>
          </w:p>
        </w:tc>
        <w:tc>
          <w:tcPr>
            <w:tcW w:w="624" w:type="dxa"/>
            <w:tcBorders>
              <w:top w:val="single" w:sz="2" w:space="0" w:color="auto"/>
              <w:left w:val="single" w:sz="6" w:space="0" w:color="auto"/>
              <w:bottom w:val="single" w:sz="2" w:space="0" w:color="auto"/>
              <w:right w:val="single" w:sz="6" w:space="0" w:color="auto"/>
            </w:tcBorders>
            <w:vAlign w:val="center"/>
          </w:tcPr>
          <w:p w14:paraId="3474BAD3"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single" w:sz="2" w:space="0" w:color="auto"/>
              <w:left w:val="single" w:sz="6" w:space="0" w:color="auto"/>
              <w:bottom w:val="single" w:sz="2" w:space="0" w:color="auto"/>
              <w:right w:val="single" w:sz="6" w:space="0" w:color="auto"/>
            </w:tcBorders>
            <w:vAlign w:val="center"/>
          </w:tcPr>
          <w:p w14:paraId="7D2FEE77"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0.0</w:t>
            </w:r>
          </w:p>
        </w:tc>
        <w:tc>
          <w:tcPr>
            <w:tcW w:w="624" w:type="dxa"/>
            <w:tcBorders>
              <w:top w:val="single" w:sz="2" w:space="0" w:color="auto"/>
              <w:left w:val="single" w:sz="6" w:space="0" w:color="auto"/>
              <w:bottom w:val="single" w:sz="2" w:space="0" w:color="auto"/>
              <w:right w:val="nil"/>
            </w:tcBorders>
            <w:vAlign w:val="center"/>
          </w:tcPr>
          <w:p w14:paraId="32DC45D0"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0.2</w:t>
            </w:r>
          </w:p>
        </w:tc>
        <w:tc>
          <w:tcPr>
            <w:tcW w:w="737" w:type="dxa"/>
            <w:tcBorders>
              <w:top w:val="single" w:sz="2" w:space="0" w:color="auto"/>
              <w:left w:val="double" w:sz="4" w:space="0" w:color="auto"/>
              <w:bottom w:val="single" w:sz="2" w:space="0" w:color="auto"/>
              <w:right w:val="double" w:sz="6" w:space="0" w:color="auto"/>
            </w:tcBorders>
            <w:vAlign w:val="center"/>
          </w:tcPr>
          <w:p w14:paraId="476F1CB2"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1.3</w:t>
            </w:r>
          </w:p>
        </w:tc>
      </w:tr>
      <w:tr w:rsidR="00E732EF" w:rsidRPr="00E732EF" w14:paraId="1993181B" w14:textId="77777777" w:rsidTr="00E732EF">
        <w:trPr>
          <w:trHeight w:val="249"/>
          <w:jc w:val="center"/>
        </w:trPr>
        <w:tc>
          <w:tcPr>
            <w:tcW w:w="1021" w:type="dxa"/>
            <w:tcBorders>
              <w:top w:val="single" w:sz="2" w:space="0" w:color="auto"/>
              <w:left w:val="double" w:sz="6" w:space="0" w:color="auto"/>
              <w:bottom w:val="single" w:sz="2" w:space="0" w:color="auto"/>
              <w:right w:val="double" w:sz="4" w:space="0" w:color="auto"/>
            </w:tcBorders>
            <w:vAlign w:val="center"/>
          </w:tcPr>
          <w:p w14:paraId="588AED8F"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MIN</w:t>
            </w:r>
          </w:p>
        </w:tc>
        <w:tc>
          <w:tcPr>
            <w:tcW w:w="624" w:type="dxa"/>
            <w:tcBorders>
              <w:top w:val="single" w:sz="2" w:space="0" w:color="auto"/>
              <w:left w:val="nil"/>
              <w:bottom w:val="single" w:sz="2" w:space="0" w:color="auto"/>
              <w:right w:val="single" w:sz="6" w:space="0" w:color="auto"/>
            </w:tcBorders>
            <w:vAlign w:val="center"/>
          </w:tcPr>
          <w:p w14:paraId="64C874A4"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w:t>
            </w:r>
          </w:p>
        </w:tc>
        <w:tc>
          <w:tcPr>
            <w:tcW w:w="624" w:type="dxa"/>
            <w:tcBorders>
              <w:top w:val="single" w:sz="2" w:space="0" w:color="auto"/>
              <w:left w:val="single" w:sz="6" w:space="0" w:color="auto"/>
              <w:bottom w:val="single" w:sz="2" w:space="0" w:color="auto"/>
              <w:right w:val="single" w:sz="6" w:space="0" w:color="auto"/>
            </w:tcBorders>
            <w:vAlign w:val="center"/>
          </w:tcPr>
          <w:p w14:paraId="792FB4C8"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w:t>
            </w:r>
          </w:p>
        </w:tc>
        <w:tc>
          <w:tcPr>
            <w:tcW w:w="624" w:type="dxa"/>
            <w:tcBorders>
              <w:top w:val="single" w:sz="2" w:space="0" w:color="auto"/>
              <w:left w:val="single" w:sz="6" w:space="0" w:color="auto"/>
              <w:bottom w:val="single" w:sz="2" w:space="0" w:color="auto"/>
              <w:right w:val="single" w:sz="6" w:space="0" w:color="auto"/>
            </w:tcBorders>
            <w:vAlign w:val="center"/>
          </w:tcPr>
          <w:p w14:paraId="36374A81"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w:t>
            </w:r>
          </w:p>
        </w:tc>
        <w:tc>
          <w:tcPr>
            <w:tcW w:w="624" w:type="dxa"/>
            <w:tcBorders>
              <w:top w:val="single" w:sz="2" w:space="0" w:color="auto"/>
              <w:left w:val="single" w:sz="6" w:space="0" w:color="auto"/>
              <w:bottom w:val="single" w:sz="2" w:space="0" w:color="auto"/>
              <w:right w:val="single" w:sz="6" w:space="0" w:color="auto"/>
            </w:tcBorders>
            <w:vAlign w:val="center"/>
          </w:tcPr>
          <w:p w14:paraId="0231F56F"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w:t>
            </w:r>
          </w:p>
        </w:tc>
        <w:tc>
          <w:tcPr>
            <w:tcW w:w="624" w:type="dxa"/>
            <w:tcBorders>
              <w:top w:val="single" w:sz="2" w:space="0" w:color="auto"/>
              <w:left w:val="single" w:sz="6" w:space="0" w:color="auto"/>
              <w:bottom w:val="single" w:sz="2" w:space="0" w:color="auto"/>
              <w:right w:val="single" w:sz="6" w:space="0" w:color="auto"/>
            </w:tcBorders>
            <w:vAlign w:val="center"/>
          </w:tcPr>
          <w:p w14:paraId="51A14A23"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w:t>
            </w:r>
          </w:p>
        </w:tc>
        <w:tc>
          <w:tcPr>
            <w:tcW w:w="624" w:type="dxa"/>
            <w:tcBorders>
              <w:top w:val="single" w:sz="2" w:space="0" w:color="auto"/>
              <w:left w:val="single" w:sz="6" w:space="0" w:color="auto"/>
              <w:bottom w:val="single" w:sz="2" w:space="0" w:color="auto"/>
              <w:right w:val="single" w:sz="6" w:space="0" w:color="auto"/>
            </w:tcBorders>
            <w:vAlign w:val="center"/>
          </w:tcPr>
          <w:p w14:paraId="33A5FE01"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w:t>
            </w:r>
          </w:p>
        </w:tc>
        <w:tc>
          <w:tcPr>
            <w:tcW w:w="624" w:type="dxa"/>
            <w:tcBorders>
              <w:top w:val="single" w:sz="2" w:space="0" w:color="auto"/>
              <w:left w:val="single" w:sz="6" w:space="0" w:color="auto"/>
              <w:bottom w:val="single" w:sz="2" w:space="0" w:color="auto"/>
              <w:right w:val="single" w:sz="6" w:space="0" w:color="auto"/>
            </w:tcBorders>
            <w:vAlign w:val="center"/>
          </w:tcPr>
          <w:p w14:paraId="020E3C51"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w:t>
            </w:r>
          </w:p>
        </w:tc>
        <w:tc>
          <w:tcPr>
            <w:tcW w:w="624" w:type="dxa"/>
            <w:tcBorders>
              <w:top w:val="single" w:sz="2" w:space="0" w:color="auto"/>
              <w:left w:val="single" w:sz="6" w:space="0" w:color="auto"/>
              <w:bottom w:val="single" w:sz="2" w:space="0" w:color="auto"/>
              <w:right w:val="single" w:sz="6" w:space="0" w:color="auto"/>
            </w:tcBorders>
            <w:vAlign w:val="center"/>
          </w:tcPr>
          <w:p w14:paraId="772C9BA1"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w:t>
            </w:r>
          </w:p>
        </w:tc>
        <w:tc>
          <w:tcPr>
            <w:tcW w:w="624" w:type="dxa"/>
            <w:tcBorders>
              <w:top w:val="single" w:sz="2" w:space="0" w:color="auto"/>
              <w:left w:val="single" w:sz="6" w:space="0" w:color="auto"/>
              <w:bottom w:val="single" w:sz="2" w:space="0" w:color="auto"/>
              <w:right w:val="single" w:sz="6" w:space="0" w:color="auto"/>
            </w:tcBorders>
            <w:vAlign w:val="center"/>
          </w:tcPr>
          <w:p w14:paraId="055B7624"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w:t>
            </w:r>
          </w:p>
        </w:tc>
        <w:tc>
          <w:tcPr>
            <w:tcW w:w="624" w:type="dxa"/>
            <w:tcBorders>
              <w:top w:val="single" w:sz="2" w:space="0" w:color="auto"/>
              <w:left w:val="single" w:sz="6" w:space="0" w:color="auto"/>
              <w:bottom w:val="single" w:sz="2" w:space="0" w:color="auto"/>
              <w:right w:val="single" w:sz="6" w:space="0" w:color="auto"/>
            </w:tcBorders>
            <w:vAlign w:val="center"/>
          </w:tcPr>
          <w:p w14:paraId="20CFF6DB"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w:t>
            </w:r>
          </w:p>
        </w:tc>
        <w:tc>
          <w:tcPr>
            <w:tcW w:w="624" w:type="dxa"/>
            <w:tcBorders>
              <w:top w:val="single" w:sz="2" w:space="0" w:color="auto"/>
              <w:left w:val="single" w:sz="6" w:space="0" w:color="auto"/>
              <w:bottom w:val="single" w:sz="2" w:space="0" w:color="auto"/>
              <w:right w:val="single" w:sz="6" w:space="0" w:color="auto"/>
            </w:tcBorders>
            <w:vAlign w:val="center"/>
          </w:tcPr>
          <w:p w14:paraId="653DF6BD"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w:t>
            </w:r>
          </w:p>
        </w:tc>
        <w:tc>
          <w:tcPr>
            <w:tcW w:w="624" w:type="dxa"/>
            <w:tcBorders>
              <w:top w:val="single" w:sz="2" w:space="0" w:color="auto"/>
              <w:left w:val="single" w:sz="6" w:space="0" w:color="auto"/>
              <w:bottom w:val="single" w:sz="2" w:space="0" w:color="auto"/>
              <w:right w:val="nil"/>
            </w:tcBorders>
            <w:vAlign w:val="center"/>
          </w:tcPr>
          <w:p w14:paraId="152F9FEE"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w:t>
            </w:r>
          </w:p>
        </w:tc>
        <w:tc>
          <w:tcPr>
            <w:tcW w:w="737" w:type="dxa"/>
            <w:tcBorders>
              <w:top w:val="single" w:sz="2" w:space="0" w:color="auto"/>
              <w:left w:val="double" w:sz="4" w:space="0" w:color="auto"/>
              <w:bottom w:val="single" w:sz="2" w:space="0" w:color="auto"/>
              <w:right w:val="double" w:sz="6" w:space="0" w:color="auto"/>
            </w:tcBorders>
            <w:vAlign w:val="center"/>
          </w:tcPr>
          <w:p w14:paraId="5F173D2F"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w:t>
            </w:r>
          </w:p>
        </w:tc>
      </w:tr>
      <w:tr w:rsidR="00E732EF" w:rsidRPr="00E732EF" w14:paraId="526356D8" w14:textId="77777777" w:rsidTr="00E732EF">
        <w:trPr>
          <w:trHeight w:val="249"/>
          <w:jc w:val="center"/>
        </w:trPr>
        <w:tc>
          <w:tcPr>
            <w:tcW w:w="1021" w:type="dxa"/>
            <w:tcBorders>
              <w:top w:val="single" w:sz="2" w:space="0" w:color="auto"/>
              <w:left w:val="double" w:sz="6" w:space="0" w:color="auto"/>
              <w:bottom w:val="double" w:sz="4" w:space="0" w:color="auto"/>
              <w:right w:val="double" w:sz="4" w:space="0" w:color="auto"/>
            </w:tcBorders>
            <w:vAlign w:val="center"/>
          </w:tcPr>
          <w:p w14:paraId="3B108A18" w14:textId="77777777" w:rsidR="00E732EF" w:rsidRPr="00E732EF" w:rsidRDefault="00E732EF" w:rsidP="00E732EF">
            <w:pPr>
              <w:spacing w:after="0" w:line="240" w:lineRule="auto"/>
              <w:ind w:left="113"/>
              <w:rPr>
                <w:rFonts w:ascii="Arial" w:eastAsia="Times New Roman" w:hAnsi="Arial" w:cs="Arial"/>
                <w:b/>
                <w:noProof/>
                <w:sz w:val="18"/>
                <w:szCs w:val="20"/>
              </w:rPr>
            </w:pPr>
            <w:r w:rsidRPr="00E732EF">
              <w:rPr>
                <w:rFonts w:ascii="Arial" w:eastAsia="Times New Roman" w:hAnsi="Arial" w:cs="Arial"/>
                <w:b/>
                <w:noProof/>
                <w:sz w:val="18"/>
                <w:szCs w:val="20"/>
              </w:rPr>
              <w:t>MAKS</w:t>
            </w:r>
          </w:p>
        </w:tc>
        <w:tc>
          <w:tcPr>
            <w:tcW w:w="624" w:type="dxa"/>
            <w:tcBorders>
              <w:top w:val="single" w:sz="2" w:space="0" w:color="auto"/>
              <w:left w:val="nil"/>
              <w:bottom w:val="double" w:sz="4" w:space="0" w:color="auto"/>
              <w:right w:val="single" w:sz="6" w:space="0" w:color="auto"/>
            </w:tcBorders>
            <w:vAlign w:val="center"/>
          </w:tcPr>
          <w:p w14:paraId="048E7CBC"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w:t>
            </w:r>
          </w:p>
        </w:tc>
        <w:tc>
          <w:tcPr>
            <w:tcW w:w="624" w:type="dxa"/>
            <w:tcBorders>
              <w:top w:val="single" w:sz="2" w:space="0" w:color="auto"/>
              <w:left w:val="single" w:sz="6" w:space="0" w:color="auto"/>
              <w:bottom w:val="double" w:sz="4" w:space="0" w:color="auto"/>
              <w:right w:val="single" w:sz="6" w:space="0" w:color="auto"/>
            </w:tcBorders>
            <w:vAlign w:val="center"/>
          </w:tcPr>
          <w:p w14:paraId="6953ECBF"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w:t>
            </w:r>
          </w:p>
        </w:tc>
        <w:tc>
          <w:tcPr>
            <w:tcW w:w="624" w:type="dxa"/>
            <w:tcBorders>
              <w:top w:val="single" w:sz="2" w:space="0" w:color="auto"/>
              <w:left w:val="single" w:sz="6" w:space="0" w:color="auto"/>
              <w:bottom w:val="double" w:sz="4" w:space="0" w:color="auto"/>
              <w:right w:val="single" w:sz="6" w:space="0" w:color="auto"/>
            </w:tcBorders>
            <w:vAlign w:val="center"/>
          </w:tcPr>
          <w:p w14:paraId="53AE3AEB"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w:t>
            </w:r>
          </w:p>
        </w:tc>
        <w:tc>
          <w:tcPr>
            <w:tcW w:w="624" w:type="dxa"/>
            <w:tcBorders>
              <w:top w:val="single" w:sz="2" w:space="0" w:color="auto"/>
              <w:left w:val="single" w:sz="6" w:space="0" w:color="auto"/>
              <w:bottom w:val="double" w:sz="4" w:space="0" w:color="auto"/>
              <w:right w:val="single" w:sz="6" w:space="0" w:color="auto"/>
            </w:tcBorders>
            <w:vAlign w:val="center"/>
          </w:tcPr>
          <w:p w14:paraId="5E1739E9"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w:t>
            </w:r>
          </w:p>
        </w:tc>
        <w:tc>
          <w:tcPr>
            <w:tcW w:w="624" w:type="dxa"/>
            <w:tcBorders>
              <w:top w:val="single" w:sz="2" w:space="0" w:color="auto"/>
              <w:left w:val="single" w:sz="6" w:space="0" w:color="auto"/>
              <w:bottom w:val="double" w:sz="4" w:space="0" w:color="auto"/>
              <w:right w:val="single" w:sz="6" w:space="0" w:color="auto"/>
            </w:tcBorders>
            <w:vAlign w:val="center"/>
          </w:tcPr>
          <w:p w14:paraId="3C15991B"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w:t>
            </w:r>
          </w:p>
        </w:tc>
        <w:tc>
          <w:tcPr>
            <w:tcW w:w="624" w:type="dxa"/>
            <w:tcBorders>
              <w:top w:val="single" w:sz="2" w:space="0" w:color="auto"/>
              <w:left w:val="single" w:sz="6" w:space="0" w:color="auto"/>
              <w:bottom w:val="double" w:sz="4" w:space="0" w:color="auto"/>
              <w:right w:val="single" w:sz="6" w:space="0" w:color="auto"/>
            </w:tcBorders>
            <w:vAlign w:val="center"/>
          </w:tcPr>
          <w:p w14:paraId="239F6525"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2</w:t>
            </w:r>
          </w:p>
        </w:tc>
        <w:tc>
          <w:tcPr>
            <w:tcW w:w="624" w:type="dxa"/>
            <w:tcBorders>
              <w:top w:val="single" w:sz="2" w:space="0" w:color="auto"/>
              <w:left w:val="single" w:sz="6" w:space="0" w:color="auto"/>
              <w:bottom w:val="double" w:sz="4" w:space="0" w:color="auto"/>
              <w:right w:val="single" w:sz="6" w:space="0" w:color="auto"/>
            </w:tcBorders>
            <w:vAlign w:val="center"/>
          </w:tcPr>
          <w:p w14:paraId="34F80918"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w:t>
            </w:r>
          </w:p>
        </w:tc>
        <w:tc>
          <w:tcPr>
            <w:tcW w:w="624" w:type="dxa"/>
            <w:tcBorders>
              <w:top w:val="single" w:sz="2" w:space="0" w:color="auto"/>
              <w:left w:val="single" w:sz="6" w:space="0" w:color="auto"/>
              <w:bottom w:val="double" w:sz="4" w:space="0" w:color="auto"/>
              <w:right w:val="single" w:sz="6" w:space="0" w:color="auto"/>
            </w:tcBorders>
            <w:vAlign w:val="center"/>
          </w:tcPr>
          <w:p w14:paraId="2A81B097"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w:t>
            </w:r>
          </w:p>
        </w:tc>
        <w:tc>
          <w:tcPr>
            <w:tcW w:w="624" w:type="dxa"/>
            <w:tcBorders>
              <w:top w:val="single" w:sz="2" w:space="0" w:color="auto"/>
              <w:left w:val="single" w:sz="6" w:space="0" w:color="auto"/>
              <w:bottom w:val="double" w:sz="4" w:space="0" w:color="auto"/>
              <w:right w:val="single" w:sz="6" w:space="0" w:color="auto"/>
            </w:tcBorders>
            <w:vAlign w:val="center"/>
          </w:tcPr>
          <w:p w14:paraId="4C6066A6"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w:t>
            </w:r>
          </w:p>
        </w:tc>
        <w:tc>
          <w:tcPr>
            <w:tcW w:w="624" w:type="dxa"/>
            <w:tcBorders>
              <w:top w:val="single" w:sz="2" w:space="0" w:color="auto"/>
              <w:left w:val="single" w:sz="6" w:space="0" w:color="auto"/>
              <w:bottom w:val="double" w:sz="4" w:space="0" w:color="auto"/>
              <w:right w:val="single" w:sz="6" w:space="0" w:color="auto"/>
            </w:tcBorders>
            <w:vAlign w:val="center"/>
          </w:tcPr>
          <w:p w14:paraId="294EC752"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w:t>
            </w:r>
          </w:p>
        </w:tc>
        <w:tc>
          <w:tcPr>
            <w:tcW w:w="624" w:type="dxa"/>
            <w:tcBorders>
              <w:top w:val="single" w:sz="2" w:space="0" w:color="auto"/>
              <w:left w:val="single" w:sz="6" w:space="0" w:color="auto"/>
              <w:bottom w:val="double" w:sz="4" w:space="0" w:color="auto"/>
              <w:right w:val="single" w:sz="6" w:space="0" w:color="auto"/>
            </w:tcBorders>
            <w:vAlign w:val="center"/>
          </w:tcPr>
          <w:p w14:paraId="4E416689"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0</w:t>
            </w:r>
          </w:p>
        </w:tc>
        <w:tc>
          <w:tcPr>
            <w:tcW w:w="624" w:type="dxa"/>
            <w:tcBorders>
              <w:top w:val="single" w:sz="2" w:space="0" w:color="auto"/>
              <w:left w:val="single" w:sz="6" w:space="0" w:color="auto"/>
              <w:bottom w:val="double" w:sz="4" w:space="0" w:color="auto"/>
              <w:right w:val="nil"/>
            </w:tcBorders>
            <w:vAlign w:val="center"/>
          </w:tcPr>
          <w:p w14:paraId="3E077621"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1</w:t>
            </w:r>
          </w:p>
        </w:tc>
        <w:tc>
          <w:tcPr>
            <w:tcW w:w="737" w:type="dxa"/>
            <w:tcBorders>
              <w:top w:val="single" w:sz="2" w:space="0" w:color="auto"/>
              <w:left w:val="double" w:sz="4" w:space="0" w:color="auto"/>
              <w:bottom w:val="double" w:sz="4" w:space="0" w:color="auto"/>
              <w:right w:val="double" w:sz="6" w:space="0" w:color="auto"/>
            </w:tcBorders>
            <w:vAlign w:val="center"/>
          </w:tcPr>
          <w:p w14:paraId="3F4B9A18" w14:textId="77777777" w:rsidR="00E732EF" w:rsidRPr="00E732EF" w:rsidRDefault="00E732EF" w:rsidP="00E732EF">
            <w:pPr>
              <w:spacing w:after="0" w:line="240" w:lineRule="auto"/>
              <w:jc w:val="center"/>
              <w:rPr>
                <w:rFonts w:ascii="Arial" w:eastAsia="Times New Roman" w:hAnsi="Arial" w:cs="Arial"/>
                <w:noProof/>
                <w:snapToGrid w:val="0"/>
                <w:color w:val="000000"/>
                <w:sz w:val="18"/>
                <w:szCs w:val="20"/>
              </w:rPr>
            </w:pPr>
            <w:r w:rsidRPr="00E732EF">
              <w:rPr>
                <w:rFonts w:ascii="Arial" w:eastAsia="Times New Roman" w:hAnsi="Arial" w:cs="Arial"/>
                <w:noProof/>
                <w:snapToGrid w:val="0"/>
                <w:color w:val="000000"/>
                <w:sz w:val="18"/>
                <w:szCs w:val="20"/>
              </w:rPr>
              <w:t>5</w:t>
            </w:r>
          </w:p>
        </w:tc>
      </w:tr>
    </w:tbl>
    <w:p w14:paraId="48078B4A" w14:textId="77777777" w:rsidR="00E732EF" w:rsidRPr="00E732EF" w:rsidRDefault="00E732EF" w:rsidP="00E732EF">
      <w:pPr>
        <w:spacing w:after="0" w:line="240" w:lineRule="auto"/>
        <w:jc w:val="both"/>
        <w:rPr>
          <w:rFonts w:ascii="Times New Roman" w:eastAsia="Calibri" w:hAnsi="Times New Roman" w:cs="Times New Roman"/>
          <w:noProof/>
        </w:rPr>
      </w:pPr>
    </w:p>
    <w:p w14:paraId="64776228"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Za prikaz godišnjeg hoda broja dana s krutom oborinom (tuča, sugradica i ledena zrna) na području ove Županije uzeti su podaci s obje meteorološke postaje. U tablici su  prikazani srednji mjesečni i godišnji broj dana s krutom oborinom te maksimalni i minimalni mjesečni i godišnji broj dana u razdoblju 1981–2000.</w:t>
      </w:r>
    </w:p>
    <w:p w14:paraId="52FD9549"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 xml:space="preserve">Na meteorološkim postajama srednji godišnji broj dana s krutom oborinom iznosi 0.8 dana. U prosjeku najviše takvih dana javlja se u lipnju 0.3 dana dok srednji broj dana u ostalim mjesecima </w:t>
      </w:r>
      <w:r w:rsidRPr="00E732EF">
        <w:rPr>
          <w:rFonts w:ascii="Times New Roman" w:eastAsia="Calibri" w:hAnsi="Times New Roman" w:cs="Times New Roman"/>
          <w:noProof/>
        </w:rPr>
        <w:lastRenderedPageBreak/>
        <w:t>iznosi 0.1 dana. U veljači, kolovozu, listopadu i studenom nije zabilježen ni jedan dan s krutom oborinom.</w:t>
      </w:r>
    </w:p>
    <w:p w14:paraId="6554FBEA" w14:textId="77777777" w:rsidR="00E732EF" w:rsidRPr="00E732EF" w:rsidRDefault="00E732EF" w:rsidP="00E732EF">
      <w:pPr>
        <w:spacing w:after="0" w:line="240" w:lineRule="auto"/>
        <w:rPr>
          <w:rFonts w:ascii="Calibri" w:eastAsia="Calibri" w:hAnsi="Calibri" w:cs="Times New Roman"/>
        </w:rPr>
      </w:pPr>
    </w:p>
    <w:p w14:paraId="08513D84" w14:textId="77777777" w:rsidR="00E732EF" w:rsidRPr="00E732EF" w:rsidRDefault="00E732EF" w:rsidP="00E732EF">
      <w:pPr>
        <w:spacing w:after="0" w:line="240" w:lineRule="auto"/>
        <w:jc w:val="both"/>
        <w:rPr>
          <w:rFonts w:ascii="Times New Roman" w:eastAsia="Calibri" w:hAnsi="Times New Roman" w:cs="Times New Roman"/>
          <w:i/>
          <w:iCs/>
        </w:rPr>
      </w:pPr>
      <w:r w:rsidRPr="00E732EF">
        <w:rPr>
          <w:rFonts w:ascii="Times New Roman" w:eastAsia="Calibri" w:hAnsi="Times New Roman" w:cs="Times New Roman"/>
          <w:i/>
          <w:iCs/>
        </w:rPr>
        <w:t xml:space="preserve">Preventivne mjere radi umanjenja posljedica prirodne nepogode  </w:t>
      </w:r>
    </w:p>
    <w:p w14:paraId="2FB1ADF2"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U preventivno djelovanje prije svega spada nabavka mreža protiv tuče čime se zaštićuju nasadi i urod od posljedica tuče. Kod većih gospodarstvenika, kao i na područjima koja se ne mogu štititi mrežama preventivno ulaganje je osiguranje uroda i nasada kod osiguravajućih društva  od posljedica tuče. </w:t>
      </w:r>
    </w:p>
    <w:p w14:paraId="4E6AF135" w14:textId="77777777" w:rsidR="00E732EF" w:rsidRPr="00E732EF" w:rsidRDefault="00E732EF" w:rsidP="00E732EF">
      <w:pPr>
        <w:spacing w:after="0" w:line="240" w:lineRule="auto"/>
        <w:jc w:val="both"/>
        <w:rPr>
          <w:rFonts w:ascii="Times New Roman" w:eastAsia="Calibri" w:hAnsi="Times New Roman" w:cs="Times New Roman"/>
        </w:rPr>
      </w:pPr>
    </w:p>
    <w:p w14:paraId="77B4655A" w14:textId="77777777" w:rsidR="00E732EF" w:rsidRPr="00E732EF" w:rsidRDefault="00E732EF" w:rsidP="00E732EF">
      <w:pPr>
        <w:spacing w:after="0" w:line="240" w:lineRule="auto"/>
        <w:jc w:val="both"/>
        <w:rPr>
          <w:rFonts w:ascii="Times New Roman" w:eastAsia="Calibri" w:hAnsi="Times New Roman" w:cs="Times New Roman"/>
          <w:i/>
          <w:iCs/>
        </w:rPr>
      </w:pPr>
      <w:r w:rsidRPr="00E732EF">
        <w:rPr>
          <w:rFonts w:ascii="Times New Roman" w:eastAsia="Calibri" w:hAnsi="Times New Roman" w:cs="Times New Roman"/>
          <w:i/>
          <w:iCs/>
        </w:rPr>
        <w:t xml:space="preserve">Mjere za ublažavanje i otklanjanje izravnih posljedica prirodne nepogode </w:t>
      </w:r>
    </w:p>
    <w:p w14:paraId="5EA12B80"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Mjere za ublažavanje i otklanjanje izravnih posljedica prirodne nepogode podrazumijevaju procjenu šteta i posljedica; sanaciju nastalih oštećenja i šteta. Sanacija obuhvaća aktivnosti kojima se otklanjaju posljedice prirodne nepogode, pružanje prve pomoći unesrećenima ukoliko ih je bilo te sve ostale radnje kojima se smanjuju posljedice olujnog i orkanskog nevremena s tučom. </w:t>
      </w:r>
    </w:p>
    <w:p w14:paraId="680EA670" w14:textId="77777777" w:rsidR="00E732EF" w:rsidRPr="00E732EF" w:rsidRDefault="00E732EF" w:rsidP="00E732EF">
      <w:pPr>
        <w:spacing w:after="0" w:line="240" w:lineRule="auto"/>
        <w:jc w:val="both"/>
        <w:rPr>
          <w:rFonts w:ascii="Times New Roman" w:eastAsia="Calibri" w:hAnsi="Times New Roman" w:cs="Times New Roman"/>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005"/>
        <w:gridCol w:w="8010"/>
      </w:tblGrid>
      <w:tr w:rsidR="00E732EF" w:rsidRPr="00E732EF" w14:paraId="2A53B5DE" w14:textId="77777777" w:rsidTr="00E732EF">
        <w:trPr>
          <w:trHeight w:val="25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151407D5" w14:textId="77777777" w:rsidR="00E732EF" w:rsidRPr="00E732EF" w:rsidRDefault="00E732EF" w:rsidP="00E732EF">
            <w:pPr>
              <w:ind w:left="-23"/>
              <w:jc w:val="center"/>
              <w:rPr>
                <w:rFonts w:ascii="Times New Roman" w:eastAsia="Calibri" w:hAnsi="Times New Roman" w:cs="Times New Roman"/>
                <w:b/>
                <w:bCs/>
              </w:rPr>
            </w:pPr>
            <w:r w:rsidRPr="00E732EF">
              <w:rPr>
                <w:rFonts w:ascii="Times New Roman" w:eastAsia="Calibri" w:hAnsi="Times New Roman" w:cs="Times New Roman"/>
              </w:rPr>
              <w:t xml:space="preserve"> </w:t>
            </w:r>
            <w:r w:rsidRPr="00E732EF">
              <w:rPr>
                <w:rFonts w:ascii="Times New Roman" w:eastAsia="Calibri" w:hAnsi="Times New Roman" w:cs="Times New Roman"/>
                <w:b/>
                <w:bCs/>
              </w:rPr>
              <w:t>R/br.</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3C7D347F" w14:textId="77777777" w:rsidR="00E732EF" w:rsidRPr="00E732EF" w:rsidRDefault="00E732EF" w:rsidP="00E732EF">
            <w:pPr>
              <w:ind w:left="-23"/>
              <w:jc w:val="center"/>
              <w:rPr>
                <w:rFonts w:ascii="Times New Roman" w:eastAsia="Calibri" w:hAnsi="Times New Roman" w:cs="Times New Roman"/>
                <w:b/>
                <w:bCs/>
              </w:rPr>
            </w:pPr>
            <w:r w:rsidRPr="00E732EF">
              <w:rPr>
                <w:rFonts w:ascii="Times New Roman" w:eastAsia="Calibri" w:hAnsi="Times New Roman" w:cs="Times New Roman"/>
                <w:b/>
                <w:bCs/>
              </w:rPr>
              <w:t>MJERE – radnje i postupci</w:t>
            </w:r>
          </w:p>
        </w:tc>
      </w:tr>
      <w:tr w:rsidR="00E732EF" w:rsidRPr="00E732EF" w14:paraId="3C720DE4" w14:textId="77777777" w:rsidTr="00E732EF">
        <w:trPr>
          <w:trHeight w:val="42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6874D54C"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1.</w:t>
            </w:r>
          </w:p>
        </w:tc>
        <w:tc>
          <w:tcPr>
            <w:tcW w:w="8010" w:type="dxa"/>
            <w:tcBorders>
              <w:top w:val="single" w:sz="4" w:space="0" w:color="BFBFBF"/>
              <w:left w:val="single" w:sz="4" w:space="0" w:color="BFBFBF"/>
              <w:bottom w:val="single" w:sz="4" w:space="0" w:color="BFBFBF"/>
              <w:right w:val="single" w:sz="4" w:space="0" w:color="BFBFBF"/>
            </w:tcBorders>
            <w:hideMark/>
          </w:tcPr>
          <w:p w14:paraId="6527A1AB"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Izvještavanje župana Međimurske županije i predlaganje aktiviranja Povjerenstva za procjenu štete od elementarnih nepogoda na ugroženim područjima.</w:t>
            </w:r>
          </w:p>
        </w:tc>
      </w:tr>
      <w:tr w:rsidR="00E732EF" w:rsidRPr="00E732EF" w14:paraId="13511C88" w14:textId="77777777" w:rsidTr="00E732EF">
        <w:trPr>
          <w:trHeight w:val="37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7E8BA576"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2.</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4E57A491"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Povjerenstvo nastavlja aktivnosti na popisu i procjeni štete sukladno Zakona o ublažavanju i uklanjanju posljedica</w:t>
            </w:r>
            <w:r w:rsidR="00190F89">
              <w:rPr>
                <w:rFonts w:ascii="Times New Roman" w:eastAsia="Calibri" w:hAnsi="Times New Roman" w:cs="Times New Roman"/>
              </w:rPr>
              <w:t xml:space="preserve"> prirodnih nepogoda (NN 16/19)</w:t>
            </w:r>
            <w:r w:rsidRPr="00E732EF">
              <w:rPr>
                <w:rFonts w:ascii="Times New Roman" w:eastAsia="Calibri" w:hAnsi="Times New Roman" w:cs="Times New Roman"/>
              </w:rPr>
              <w:t xml:space="preserve"> i Pravilniku o registru šteta od prirodnih nepogoda (NN 65/19)</w:t>
            </w:r>
          </w:p>
        </w:tc>
      </w:tr>
      <w:tr w:rsidR="00E732EF" w:rsidRPr="00E732EF" w14:paraId="238405BD" w14:textId="77777777" w:rsidTr="00E732EF">
        <w:trPr>
          <w:trHeight w:val="31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29C03652"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3.</w:t>
            </w:r>
          </w:p>
        </w:tc>
        <w:tc>
          <w:tcPr>
            <w:tcW w:w="8010" w:type="dxa"/>
            <w:tcBorders>
              <w:top w:val="single" w:sz="4" w:space="0" w:color="BFBFBF"/>
              <w:left w:val="single" w:sz="4" w:space="0" w:color="BFBFBF"/>
              <w:bottom w:val="single" w:sz="4" w:space="0" w:color="BFBFBF"/>
              <w:right w:val="single" w:sz="4" w:space="0" w:color="BFBFBF"/>
            </w:tcBorders>
            <w:hideMark/>
          </w:tcPr>
          <w:p w14:paraId="4DF0A202"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Aktiviranje Stožera CZ Općine Sveti Juraj na Bregu – sukladno procjeni opć. načelnika</w:t>
            </w:r>
          </w:p>
        </w:tc>
      </w:tr>
      <w:tr w:rsidR="00E732EF" w:rsidRPr="00E732EF" w14:paraId="4F47246C" w14:textId="77777777" w:rsidTr="00E732EF">
        <w:trPr>
          <w:trHeight w:val="37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1ADCE36D"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4.</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270D962E"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Prikupljanje  informacija o prohodnosti prometnica i štetama.</w:t>
            </w:r>
          </w:p>
        </w:tc>
      </w:tr>
      <w:tr w:rsidR="00E732EF" w:rsidRPr="00E732EF" w14:paraId="6819B123" w14:textId="77777777" w:rsidTr="00E732EF">
        <w:trPr>
          <w:trHeight w:val="28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774D2889"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5.</w:t>
            </w:r>
          </w:p>
        </w:tc>
        <w:tc>
          <w:tcPr>
            <w:tcW w:w="8010" w:type="dxa"/>
            <w:tcBorders>
              <w:top w:val="single" w:sz="4" w:space="0" w:color="BFBFBF"/>
              <w:left w:val="single" w:sz="4" w:space="0" w:color="BFBFBF"/>
              <w:bottom w:val="single" w:sz="4" w:space="0" w:color="BFBFBF"/>
              <w:right w:val="single" w:sz="4" w:space="0" w:color="BFBFBF"/>
            </w:tcBorders>
            <w:hideMark/>
          </w:tcPr>
          <w:p w14:paraId="6618FFC9"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Prikupljanje informacija o funkcioniranju sustava: za elektroopskrbu, za telekomunikaciju,  o stanju društvenih i stambenih objekata na prostoru.</w:t>
            </w:r>
          </w:p>
        </w:tc>
      </w:tr>
      <w:tr w:rsidR="00E732EF" w:rsidRPr="00E732EF" w14:paraId="4F6E207B" w14:textId="77777777" w:rsidTr="00E732EF">
        <w:trPr>
          <w:trHeight w:val="36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3CAD73DE"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6.</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6542D18E"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Aktiviranje komunalnih snaga a iznimno i VZ Općine (5 DVD-a)</w:t>
            </w:r>
          </w:p>
        </w:tc>
      </w:tr>
      <w:tr w:rsidR="00E732EF" w:rsidRPr="00E732EF" w14:paraId="79472C98" w14:textId="77777777" w:rsidTr="00E732EF">
        <w:trPr>
          <w:trHeight w:val="25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4EE0FE1A"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7.</w:t>
            </w:r>
          </w:p>
        </w:tc>
        <w:tc>
          <w:tcPr>
            <w:tcW w:w="8010" w:type="dxa"/>
            <w:tcBorders>
              <w:top w:val="single" w:sz="4" w:space="0" w:color="BFBFBF"/>
              <w:left w:val="single" w:sz="4" w:space="0" w:color="BFBFBF"/>
              <w:bottom w:val="single" w:sz="4" w:space="0" w:color="BFBFBF"/>
              <w:right w:val="single" w:sz="4" w:space="0" w:color="BFBFBF"/>
            </w:tcBorders>
            <w:hideMark/>
          </w:tcPr>
          <w:p w14:paraId="2881091C"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Utvrđivanje redoslijeda u smislu stavljanja u potpunu funkciju prometnica na području Općine te oštećenim objektima</w:t>
            </w:r>
          </w:p>
        </w:tc>
      </w:tr>
      <w:tr w:rsidR="00E732EF" w:rsidRPr="00E732EF" w14:paraId="1274E61E" w14:textId="77777777" w:rsidTr="00E732EF">
        <w:trPr>
          <w:trHeight w:val="18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3A86B09D"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8.</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5C32585E"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Utvrđivanje redoslijeda u smislu stavljanja u potpunu funkciju opskrbu električnom energijom i telekomunikacijom po prioritetima</w:t>
            </w:r>
          </w:p>
        </w:tc>
      </w:tr>
      <w:tr w:rsidR="00E732EF" w:rsidRPr="00E732EF" w14:paraId="46C69679" w14:textId="77777777" w:rsidTr="00E732EF">
        <w:trPr>
          <w:trHeight w:val="30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29ACC9D1"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9.</w:t>
            </w:r>
          </w:p>
        </w:tc>
        <w:tc>
          <w:tcPr>
            <w:tcW w:w="8010" w:type="dxa"/>
            <w:tcBorders>
              <w:top w:val="single" w:sz="4" w:space="0" w:color="BFBFBF"/>
              <w:left w:val="single" w:sz="4" w:space="0" w:color="BFBFBF"/>
              <w:bottom w:val="single" w:sz="4" w:space="0" w:color="BFBFBF"/>
              <w:right w:val="single" w:sz="4" w:space="0" w:color="BFBFBF"/>
            </w:tcBorders>
            <w:hideMark/>
          </w:tcPr>
          <w:p w14:paraId="64C72440"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 koordinaciji sa Stožerom CZ izvršiti pozivanje pravnih osoba iz Odluke o pravnim osobama od interesa za sustav CZ koje posjeduju mehanizaciju kako bi pomogli u što bržem čišćenju prometnica ovlaštenom koncesionaru i doveli do normalnog funkcioniranja zajednice</w:t>
            </w:r>
          </w:p>
        </w:tc>
      </w:tr>
      <w:tr w:rsidR="00E732EF" w:rsidRPr="00E732EF" w14:paraId="13257C18" w14:textId="77777777" w:rsidTr="00E732EF">
        <w:trPr>
          <w:trHeight w:val="45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4B877706"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10.</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26EDFD91"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Povjerenstvo Općine nastavlja aktivnosti na popisu i procjeni štete sukladno Zakonu te o rezultatima izvješćuje Međimursku županiju. </w:t>
            </w:r>
          </w:p>
        </w:tc>
      </w:tr>
    </w:tbl>
    <w:p w14:paraId="20166516" w14:textId="77777777" w:rsidR="00E732EF" w:rsidRPr="00E732EF" w:rsidRDefault="00E732EF" w:rsidP="00E732EF">
      <w:pPr>
        <w:rPr>
          <w:rFonts w:ascii="Times New Roman" w:eastAsia="Calibri" w:hAnsi="Times New Roman" w:cs="Times New Roman"/>
        </w:rPr>
      </w:pPr>
    </w:p>
    <w:p w14:paraId="1630B198" w14:textId="77777777" w:rsidR="00E732EF" w:rsidRPr="00E732EF" w:rsidRDefault="00E732EF" w:rsidP="00E732EF">
      <w:pPr>
        <w:spacing w:after="0" w:line="240" w:lineRule="auto"/>
        <w:rPr>
          <w:rFonts w:ascii="Times New Roman" w:eastAsia="Calibri" w:hAnsi="Times New Roman" w:cs="Times New Roman"/>
          <w:b/>
          <w:bCs/>
        </w:rPr>
      </w:pPr>
      <w:r w:rsidRPr="00E732EF">
        <w:rPr>
          <w:rFonts w:ascii="Times New Roman" w:eastAsia="Calibri" w:hAnsi="Times New Roman" w:cs="Times New Roman"/>
        </w:rPr>
        <w:t xml:space="preserve"> 2.1.6. </w:t>
      </w:r>
      <w:r w:rsidRPr="00E732EF">
        <w:rPr>
          <w:rFonts w:ascii="Times New Roman" w:eastAsia="Calibri" w:hAnsi="Times New Roman" w:cs="Times New Roman"/>
          <w:b/>
          <w:bCs/>
        </w:rPr>
        <w:t xml:space="preserve"> KLIZIŠTA TLA</w:t>
      </w:r>
    </w:p>
    <w:p w14:paraId="6519DB53" w14:textId="77777777" w:rsidR="00E732EF" w:rsidRPr="00E732EF" w:rsidRDefault="00E732EF" w:rsidP="00E732EF">
      <w:pPr>
        <w:spacing w:after="0" w:line="240" w:lineRule="auto"/>
        <w:ind w:left="765"/>
        <w:rPr>
          <w:rFonts w:ascii="Times New Roman" w:eastAsia="Calibri" w:hAnsi="Times New Roman" w:cs="Times New Roman"/>
          <w:b/>
          <w:bCs/>
        </w:rPr>
      </w:pPr>
    </w:p>
    <w:p w14:paraId="2BFFE774"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Pojave klizišta pod utjecajem su geološke građe, geomorfoloških procesa, fizičkih procesa sezonskog karaktera (npr.oborina) te ljudskih aktivnosti (sječa vegetacije, način obrade tla, izgradnja cesta i drugo). Ove pojave nisu učestale za područje Općine Sveti Juraj na Bregu ali se povremeno lokalno dešavaju u periodima kišnih godina.</w:t>
      </w:r>
    </w:p>
    <w:p w14:paraId="135F20FD" w14:textId="77777777" w:rsidR="00E732EF" w:rsidRPr="00E732EF" w:rsidRDefault="00E732EF" w:rsidP="00E732EF">
      <w:pPr>
        <w:spacing w:after="0" w:line="240" w:lineRule="auto"/>
        <w:jc w:val="both"/>
        <w:rPr>
          <w:rFonts w:ascii="Times New Roman" w:eastAsia="Calibri" w:hAnsi="Times New Roman" w:cs="Times New Roman"/>
          <w:b/>
          <w:bCs/>
          <w:noProof/>
          <w:lang w:eastAsia="hr-HR"/>
        </w:rPr>
      </w:pPr>
    </w:p>
    <w:p w14:paraId="43814734" w14:textId="77777777" w:rsidR="00E732EF" w:rsidRPr="00E732EF" w:rsidRDefault="00E732EF" w:rsidP="00E732EF">
      <w:pPr>
        <w:spacing w:after="0" w:line="240" w:lineRule="auto"/>
        <w:jc w:val="both"/>
        <w:rPr>
          <w:rFonts w:ascii="Times New Roman" w:eastAsia="Calibri" w:hAnsi="Times New Roman" w:cs="Times New Roman"/>
          <w:noProof/>
          <w:lang w:eastAsia="hr-HR"/>
        </w:rPr>
      </w:pPr>
      <w:r w:rsidRPr="00E732EF">
        <w:rPr>
          <w:rFonts w:ascii="Times New Roman" w:eastAsia="Calibri" w:hAnsi="Times New Roman" w:cs="Times New Roman"/>
          <w:b/>
          <w:bCs/>
          <w:noProof/>
          <w:lang w:eastAsia="hr-HR"/>
        </w:rPr>
        <w:t>Klizište</w:t>
      </w:r>
      <w:r w:rsidRPr="00E732EF">
        <w:rPr>
          <w:rFonts w:ascii="Times New Roman" w:eastAsia="Calibri" w:hAnsi="Times New Roman" w:cs="Times New Roman"/>
          <w:noProof/>
          <w:lang w:eastAsia="hr-HR"/>
        </w:rPr>
        <w:t> je dio </w:t>
      </w:r>
      <w:hyperlink r:id="rId17" w:tooltip="Padina" w:history="1">
        <w:r w:rsidRPr="00E732EF">
          <w:rPr>
            <w:rFonts w:ascii="Times New Roman" w:eastAsia="Calibri" w:hAnsi="Times New Roman" w:cs="Times New Roman"/>
            <w:noProof/>
            <w:lang w:eastAsia="hr-HR"/>
          </w:rPr>
          <w:t>padine</w:t>
        </w:r>
      </w:hyperlink>
      <w:r w:rsidRPr="00E732EF">
        <w:rPr>
          <w:rFonts w:ascii="Times New Roman" w:eastAsia="Calibri" w:hAnsi="Times New Roman" w:cs="Times New Roman"/>
          <w:noProof/>
          <w:lang w:eastAsia="hr-HR"/>
        </w:rPr>
        <w:t> na kojem je zbog poremećaja </w:t>
      </w:r>
      <w:hyperlink r:id="rId18" w:tooltip="Stabilnost" w:history="1">
        <w:r w:rsidRPr="00E732EF">
          <w:rPr>
            <w:rFonts w:ascii="Times New Roman" w:eastAsia="Calibri" w:hAnsi="Times New Roman" w:cs="Times New Roman"/>
            <w:noProof/>
            <w:lang w:eastAsia="hr-HR"/>
          </w:rPr>
          <w:t>stabilnosti</w:t>
        </w:r>
      </w:hyperlink>
      <w:r w:rsidRPr="00E732EF">
        <w:rPr>
          <w:rFonts w:ascii="Times New Roman" w:eastAsia="Calibri" w:hAnsi="Times New Roman" w:cs="Times New Roman"/>
          <w:noProof/>
          <w:lang w:eastAsia="hr-HR"/>
        </w:rPr>
        <w:t> došlo do klizanja </w:t>
      </w:r>
      <w:hyperlink r:id="rId19" w:tooltip="Tlo" w:history="1">
        <w:r w:rsidRPr="00E732EF">
          <w:rPr>
            <w:rFonts w:ascii="Times New Roman" w:eastAsia="Calibri" w:hAnsi="Times New Roman" w:cs="Times New Roman"/>
            <w:noProof/>
            <w:lang w:eastAsia="hr-HR"/>
          </w:rPr>
          <w:t>tla</w:t>
        </w:r>
      </w:hyperlink>
      <w:r w:rsidRPr="00E732EF">
        <w:rPr>
          <w:rFonts w:ascii="Times New Roman" w:eastAsia="Calibri" w:hAnsi="Times New Roman" w:cs="Times New Roman"/>
          <w:noProof/>
          <w:lang w:eastAsia="hr-HR"/>
        </w:rPr>
        <w:t>, to jest kretanja površinskoga sloja </w:t>
      </w:r>
      <w:hyperlink r:id="rId20" w:tooltip="Tlo" w:history="1">
        <w:r w:rsidRPr="00E732EF">
          <w:rPr>
            <w:rFonts w:ascii="Times New Roman" w:eastAsia="Calibri" w:hAnsi="Times New Roman" w:cs="Times New Roman"/>
            <w:noProof/>
            <w:lang w:eastAsia="hr-HR"/>
          </w:rPr>
          <w:t>zemlje</w:t>
        </w:r>
      </w:hyperlink>
      <w:r w:rsidRPr="00E732EF">
        <w:rPr>
          <w:rFonts w:ascii="Times New Roman" w:eastAsia="Calibri" w:hAnsi="Times New Roman" w:cs="Times New Roman"/>
          <w:noProof/>
          <w:lang w:eastAsia="hr-HR"/>
        </w:rPr>
        <w:t>. Stabilnost tla ovisna je o strmini i obliku padine, geomehaničkim svojstvima tla, rasporedu </w:t>
      </w:r>
      <w:hyperlink r:id="rId21" w:tooltip="Sloj (stranica ne postoji)" w:history="1">
        <w:r w:rsidRPr="00E732EF">
          <w:rPr>
            <w:rFonts w:ascii="Times New Roman" w:eastAsia="Calibri" w:hAnsi="Times New Roman" w:cs="Times New Roman"/>
            <w:noProof/>
            <w:lang w:eastAsia="hr-HR"/>
          </w:rPr>
          <w:t>slojeva</w:t>
        </w:r>
      </w:hyperlink>
      <w:r w:rsidRPr="00E732EF">
        <w:rPr>
          <w:rFonts w:ascii="Times New Roman" w:eastAsia="Calibri" w:hAnsi="Times New Roman" w:cs="Times New Roman"/>
          <w:noProof/>
          <w:lang w:eastAsia="hr-HR"/>
        </w:rPr>
        <w:t> tla i drugom. Najčešći je uzrok klizanja tla promjena razine </w:t>
      </w:r>
      <w:hyperlink r:id="rId22" w:tooltip="Podzemne vode" w:history="1">
        <w:r w:rsidRPr="00E732EF">
          <w:rPr>
            <w:rFonts w:ascii="Times New Roman" w:eastAsia="Calibri" w:hAnsi="Times New Roman" w:cs="Times New Roman"/>
            <w:noProof/>
            <w:lang w:eastAsia="hr-HR"/>
          </w:rPr>
          <w:t>podzemnih voda</w:t>
        </w:r>
      </w:hyperlink>
      <w:r w:rsidRPr="00E732EF">
        <w:rPr>
          <w:rFonts w:ascii="Times New Roman" w:eastAsia="Calibri" w:hAnsi="Times New Roman" w:cs="Times New Roman"/>
          <w:noProof/>
          <w:lang w:eastAsia="hr-HR"/>
        </w:rPr>
        <w:t>, ali i promjena tokova površinskih voda, sezonske promjene vlažnosti i </w:t>
      </w:r>
      <w:hyperlink r:id="rId23" w:tooltip="Temperatura" w:history="1">
        <w:r w:rsidRPr="00E732EF">
          <w:rPr>
            <w:rFonts w:ascii="Times New Roman" w:eastAsia="Calibri" w:hAnsi="Times New Roman" w:cs="Times New Roman"/>
            <w:noProof/>
            <w:lang w:eastAsia="hr-HR"/>
          </w:rPr>
          <w:t>temperature</w:t>
        </w:r>
      </w:hyperlink>
      <w:r w:rsidRPr="00E732EF">
        <w:rPr>
          <w:rFonts w:ascii="Times New Roman" w:eastAsia="Calibri" w:hAnsi="Times New Roman" w:cs="Times New Roman"/>
          <w:noProof/>
          <w:lang w:eastAsia="hr-HR"/>
        </w:rPr>
        <w:t> </w:t>
      </w:r>
      <w:hyperlink r:id="rId24" w:tooltip="Zrak" w:history="1">
        <w:r w:rsidRPr="00E732EF">
          <w:rPr>
            <w:rFonts w:ascii="Times New Roman" w:eastAsia="Calibri" w:hAnsi="Times New Roman" w:cs="Times New Roman"/>
            <w:noProof/>
            <w:lang w:eastAsia="hr-HR"/>
          </w:rPr>
          <w:t>zraka</w:t>
        </w:r>
      </w:hyperlink>
      <w:r w:rsidRPr="00E732EF">
        <w:rPr>
          <w:rFonts w:ascii="Times New Roman" w:eastAsia="Calibri" w:hAnsi="Times New Roman" w:cs="Times New Roman"/>
          <w:noProof/>
          <w:lang w:eastAsia="hr-HR"/>
        </w:rPr>
        <w:t>, </w:t>
      </w:r>
      <w:hyperlink r:id="rId25" w:tooltip="Tektonika ploča" w:history="1">
        <w:r w:rsidRPr="00E732EF">
          <w:rPr>
            <w:rFonts w:ascii="Times New Roman" w:eastAsia="Calibri" w:hAnsi="Times New Roman" w:cs="Times New Roman"/>
            <w:noProof/>
            <w:lang w:eastAsia="hr-HR"/>
          </w:rPr>
          <w:t>tektonski poremećaji</w:t>
        </w:r>
      </w:hyperlink>
      <w:r w:rsidRPr="00E732EF">
        <w:rPr>
          <w:rFonts w:ascii="Times New Roman" w:eastAsia="Calibri" w:hAnsi="Times New Roman" w:cs="Times New Roman"/>
          <w:noProof/>
          <w:lang w:eastAsia="hr-HR"/>
        </w:rPr>
        <w:t> i </w:t>
      </w:r>
      <w:hyperlink r:id="rId26" w:tooltip="Potres" w:history="1">
        <w:r w:rsidRPr="00E732EF">
          <w:rPr>
            <w:rFonts w:ascii="Times New Roman" w:eastAsia="Calibri" w:hAnsi="Times New Roman" w:cs="Times New Roman"/>
            <w:noProof/>
            <w:lang w:eastAsia="hr-HR"/>
          </w:rPr>
          <w:t>potresi</w:t>
        </w:r>
      </w:hyperlink>
      <w:r w:rsidRPr="00E732EF">
        <w:rPr>
          <w:rFonts w:ascii="Times New Roman" w:eastAsia="Calibri" w:hAnsi="Times New Roman" w:cs="Times New Roman"/>
          <w:noProof/>
          <w:lang w:eastAsia="hr-HR"/>
        </w:rPr>
        <w:t>, te neprikladni zahvati na tlu, na primjer iskrčivanje </w:t>
      </w:r>
      <w:hyperlink r:id="rId27" w:tooltip="Vegetacija" w:history="1">
        <w:r w:rsidRPr="00E732EF">
          <w:rPr>
            <w:rFonts w:ascii="Times New Roman" w:eastAsia="Calibri" w:hAnsi="Times New Roman" w:cs="Times New Roman"/>
            <w:noProof/>
            <w:lang w:eastAsia="hr-HR"/>
          </w:rPr>
          <w:t>vegetacije</w:t>
        </w:r>
      </w:hyperlink>
      <w:r w:rsidRPr="00E732EF">
        <w:rPr>
          <w:rFonts w:ascii="Times New Roman" w:eastAsia="Calibri" w:hAnsi="Times New Roman" w:cs="Times New Roman"/>
          <w:noProof/>
          <w:lang w:eastAsia="hr-HR"/>
        </w:rPr>
        <w:t xml:space="preserve">, promjena režima podzemnih voda, oblika padine ili opterećenja na tlu. </w:t>
      </w:r>
    </w:p>
    <w:p w14:paraId="51955FB2" w14:textId="77777777" w:rsidR="00E732EF" w:rsidRPr="00E732EF" w:rsidRDefault="00E732EF" w:rsidP="00E732EF">
      <w:pPr>
        <w:spacing w:after="0" w:line="240" w:lineRule="auto"/>
        <w:jc w:val="both"/>
        <w:rPr>
          <w:rFonts w:ascii="Times New Roman" w:eastAsia="Calibri" w:hAnsi="Times New Roman" w:cs="Times New Roman"/>
          <w:noProof/>
          <w:lang w:eastAsia="hr-HR"/>
        </w:rPr>
      </w:pPr>
      <w:r w:rsidRPr="00E732EF">
        <w:rPr>
          <w:rFonts w:ascii="Times New Roman" w:eastAsia="Calibri" w:hAnsi="Times New Roman" w:cs="Times New Roman"/>
          <w:noProof/>
          <w:lang w:eastAsia="hr-HR"/>
        </w:rPr>
        <w:lastRenderedPageBreak/>
        <w:t>Klizište se može javiti kako na prirodnim padinama tako i na izgrađenim pokosima. Klizanje može biti polagano (puzanje tla), ili se može dogoditi u kratkome razdoblju. Plitka klizišta najčešće nastaju u </w:t>
      </w:r>
      <w:hyperlink r:id="rId28" w:tooltip="Glina (tlo)" w:history="1">
        <w:r w:rsidRPr="00E732EF">
          <w:rPr>
            <w:rFonts w:ascii="Times New Roman" w:eastAsia="Calibri" w:hAnsi="Times New Roman" w:cs="Times New Roman"/>
            <w:noProof/>
            <w:lang w:eastAsia="hr-HR"/>
          </w:rPr>
          <w:t>glinama</w:t>
        </w:r>
      </w:hyperlink>
      <w:r w:rsidRPr="00E732EF">
        <w:rPr>
          <w:rFonts w:ascii="Times New Roman" w:eastAsia="Calibri" w:hAnsi="Times New Roman" w:cs="Times New Roman"/>
          <w:noProof/>
          <w:lang w:eastAsia="hr-HR"/>
        </w:rPr>
        <w:t> velike </w:t>
      </w:r>
      <w:hyperlink r:id="rId29" w:tooltip="Plastičnost" w:history="1">
        <w:r w:rsidRPr="00E732EF">
          <w:rPr>
            <w:rFonts w:ascii="Times New Roman" w:eastAsia="Calibri" w:hAnsi="Times New Roman" w:cs="Times New Roman"/>
            <w:noProof/>
            <w:lang w:eastAsia="hr-HR"/>
          </w:rPr>
          <w:t>plastičnosti</w:t>
        </w:r>
      </w:hyperlink>
      <w:r w:rsidRPr="00E732EF">
        <w:rPr>
          <w:rFonts w:ascii="Times New Roman" w:eastAsia="Calibri" w:hAnsi="Times New Roman" w:cs="Times New Roman"/>
          <w:noProof/>
          <w:lang w:eastAsia="hr-HR"/>
        </w:rPr>
        <w:t>.</w:t>
      </w:r>
    </w:p>
    <w:p w14:paraId="6A850647" w14:textId="77777777" w:rsidR="00E732EF" w:rsidRPr="00E732EF" w:rsidRDefault="00E732EF" w:rsidP="00E732EF">
      <w:pPr>
        <w:spacing w:after="0" w:line="240" w:lineRule="auto"/>
        <w:jc w:val="both"/>
        <w:rPr>
          <w:rFonts w:ascii="Times New Roman" w:eastAsia="Calibri" w:hAnsi="Times New Roman" w:cs="Times New Roman"/>
          <w:noProof/>
          <w:lang w:eastAsia="hr-HR"/>
        </w:rPr>
      </w:pPr>
      <w:hyperlink r:id="rId30" w:tooltip="Sanacija (stranica ne postoji)" w:history="1">
        <w:r w:rsidRPr="00E732EF">
          <w:rPr>
            <w:rFonts w:ascii="Times New Roman" w:eastAsia="Calibri" w:hAnsi="Times New Roman" w:cs="Times New Roman"/>
            <w:noProof/>
            <w:lang w:eastAsia="hr-HR"/>
          </w:rPr>
          <w:t>Sanacija</w:t>
        </w:r>
      </w:hyperlink>
      <w:r w:rsidRPr="00E732EF">
        <w:rPr>
          <w:rFonts w:ascii="Times New Roman" w:eastAsia="Calibri" w:hAnsi="Times New Roman" w:cs="Times New Roman"/>
          <w:noProof/>
          <w:lang w:eastAsia="hr-HR"/>
        </w:rPr>
        <w:t> klizišta provodi se </w:t>
      </w:r>
      <w:hyperlink r:id="rId31" w:tooltip="Građevinarstvo" w:history="1">
        <w:r w:rsidRPr="00E732EF">
          <w:rPr>
            <w:rFonts w:ascii="Times New Roman" w:eastAsia="Calibri" w:hAnsi="Times New Roman" w:cs="Times New Roman"/>
            <w:noProof/>
            <w:lang w:eastAsia="hr-HR"/>
          </w:rPr>
          <w:t>građevinskim</w:t>
        </w:r>
      </w:hyperlink>
      <w:r w:rsidRPr="00E732EF">
        <w:rPr>
          <w:rFonts w:ascii="Times New Roman" w:eastAsia="Calibri" w:hAnsi="Times New Roman" w:cs="Times New Roman"/>
          <w:noProof/>
          <w:lang w:eastAsia="hr-HR"/>
        </w:rPr>
        <w:t> zahvatima, obično izvedbom drenažnoga sustava, kojim se snižava razina podzemne vode (</w:t>
      </w:r>
      <w:hyperlink r:id="rId32" w:tooltip="Drenaža (stranica ne postoji)" w:history="1">
        <w:r w:rsidRPr="00E732EF">
          <w:rPr>
            <w:rFonts w:ascii="Times New Roman" w:eastAsia="Calibri" w:hAnsi="Times New Roman" w:cs="Times New Roman"/>
            <w:noProof/>
            <w:lang w:eastAsia="hr-HR"/>
          </w:rPr>
          <w:t>drenaža</w:t>
        </w:r>
      </w:hyperlink>
      <w:r w:rsidRPr="00E732EF">
        <w:rPr>
          <w:rFonts w:ascii="Times New Roman" w:eastAsia="Calibri" w:hAnsi="Times New Roman" w:cs="Times New Roman"/>
          <w:noProof/>
          <w:lang w:eastAsia="hr-HR"/>
        </w:rPr>
        <w:t>), promjenom oblika padine kako bi se smanjilo opterećenje</w:t>
      </w:r>
    </w:p>
    <w:p w14:paraId="0C4ED11A"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noProof/>
          <w:lang w:eastAsia="hr-HR"/>
        </w:rPr>
        <w:t>gornjega dijela klizišta, uz povećanje opterećenja na donjem dijelu klizišta, izvedbom </w:t>
      </w:r>
      <w:hyperlink r:id="rId33" w:tooltip="Potporni zid (stranica ne postoji)" w:history="1">
        <w:r w:rsidRPr="00E732EF">
          <w:rPr>
            <w:rFonts w:ascii="Times New Roman" w:eastAsia="Calibri" w:hAnsi="Times New Roman" w:cs="Times New Roman"/>
            <w:noProof/>
            <w:lang w:eastAsia="hr-HR"/>
          </w:rPr>
          <w:t>potpornih zidova</w:t>
        </w:r>
      </w:hyperlink>
      <w:r w:rsidRPr="00E732EF">
        <w:rPr>
          <w:rFonts w:ascii="Times New Roman" w:eastAsia="Calibri" w:hAnsi="Times New Roman" w:cs="Times New Roman"/>
          <w:noProof/>
          <w:lang w:eastAsia="hr-HR"/>
        </w:rPr>
        <w:t>, sadnjom </w:t>
      </w:r>
      <w:hyperlink r:id="rId34" w:tooltip="Vegetacija" w:history="1">
        <w:r w:rsidRPr="00E732EF">
          <w:rPr>
            <w:rFonts w:ascii="Times New Roman" w:eastAsia="Calibri" w:hAnsi="Times New Roman" w:cs="Times New Roman"/>
            <w:noProof/>
            <w:lang w:eastAsia="hr-HR"/>
          </w:rPr>
          <w:t>raslinja</w:t>
        </w:r>
      </w:hyperlink>
      <w:r w:rsidRPr="00E732EF">
        <w:rPr>
          <w:rFonts w:ascii="Times New Roman" w:eastAsia="Calibri" w:hAnsi="Times New Roman" w:cs="Times New Roman"/>
          <w:noProof/>
          <w:lang w:eastAsia="hr-HR"/>
        </w:rPr>
        <w:t xml:space="preserve"> i drugim. Pojava klizišta utvrđuje se opažanjem na terenu, te mjerenjem pomaka tla tijekom duljega razdoblja.O klizištima se uobičajeno vodi računa samo u trenutku kada su ona aktivna (kao što je npr. period obilnih kiša početkom 2014. i 2015.godine) dok se u razdoblju kada „spavaju“ na njih zaboravlja.Osim prirodnih sila javljaju se i klizanja tla uslijed zahvata koje na površini terena izvodi čovjek. </w:t>
      </w:r>
      <w:r w:rsidRPr="00E732EF">
        <w:rPr>
          <w:rFonts w:ascii="Times New Roman" w:eastAsia="Calibri" w:hAnsi="Times New Roman" w:cs="Times New Roman"/>
          <w:noProof/>
        </w:rPr>
        <w:t>Današnje spoznaje o klizištima govore da su ona vrlo različita po obliku, načinu postanka, vrsti tla u kojem se pojavljuju i neposrednim povodima koji ih izazovu. Klizišta mogu biti uzrok daljnjih elementarnih nepogoda, a mogu biti i njihova posljedica.</w:t>
      </w:r>
    </w:p>
    <w:p w14:paraId="46B876DC" w14:textId="77777777" w:rsidR="00E732EF" w:rsidRPr="00E732EF" w:rsidRDefault="00E732EF" w:rsidP="00E732EF">
      <w:pPr>
        <w:spacing w:after="0" w:line="240" w:lineRule="auto"/>
        <w:jc w:val="both"/>
        <w:rPr>
          <w:rFonts w:ascii="Times New Roman" w:eastAsia="Calibri" w:hAnsi="Times New Roman" w:cs="Times New Roman"/>
          <w:noProof/>
          <w:lang w:eastAsia="hr-HR"/>
        </w:rPr>
      </w:pPr>
    </w:p>
    <w:p w14:paraId="2DB4BA67" w14:textId="77777777" w:rsidR="00E732EF" w:rsidRPr="00E732EF" w:rsidRDefault="00E732EF" w:rsidP="00E732EF">
      <w:pPr>
        <w:spacing w:after="0" w:line="240" w:lineRule="auto"/>
        <w:jc w:val="both"/>
        <w:rPr>
          <w:rFonts w:ascii="Times New Roman" w:eastAsia="Calibri" w:hAnsi="Times New Roman" w:cs="Times New Roman"/>
          <w:noProof/>
          <w:lang w:eastAsia="hr-HR"/>
        </w:rPr>
      </w:pPr>
      <w:r w:rsidRPr="00E732EF">
        <w:rPr>
          <w:rFonts w:ascii="Times New Roman" w:eastAsia="Calibri" w:hAnsi="Times New Roman" w:cs="Times New Roman"/>
          <w:noProof/>
          <w:lang w:eastAsia="hr-HR"/>
        </w:rPr>
        <w:t>Slike 4: Dijelovi klizišta; Puzanje tla</w:t>
      </w:r>
    </w:p>
    <w:p w14:paraId="095FCB27" w14:textId="77777777" w:rsidR="00E732EF" w:rsidRPr="00E732EF" w:rsidRDefault="00E732EF" w:rsidP="00E732EF">
      <w:pPr>
        <w:spacing w:after="0" w:line="240" w:lineRule="auto"/>
        <w:jc w:val="both"/>
        <w:rPr>
          <w:rFonts w:ascii="Times New Roman" w:eastAsia="Calibri" w:hAnsi="Times New Roman" w:cs="Times New Roman"/>
          <w:noProof/>
          <w:lang w:eastAsia="hr-HR"/>
        </w:rPr>
      </w:pPr>
      <w:r>
        <w:rPr>
          <w:rFonts w:ascii="Times New Roman" w:eastAsia="Calibri" w:hAnsi="Times New Roman" w:cs="Times New Roman"/>
          <w:noProof/>
          <w:lang w:eastAsia="hr-HR"/>
        </w:rPr>
        <w:drawing>
          <wp:inline distT="0" distB="0" distL="0" distR="0" wp14:anchorId="1E566A8D" wp14:editId="744268D4">
            <wp:extent cx="2829560" cy="1854835"/>
            <wp:effectExtent l="0" t="0" r="8890" b="0"/>
            <wp:docPr id="10" name="Slika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29560" cy="1854835"/>
                    </a:xfrm>
                    <a:prstGeom prst="rect">
                      <a:avLst/>
                    </a:prstGeom>
                    <a:noFill/>
                    <a:ln>
                      <a:noFill/>
                    </a:ln>
                  </pic:spPr>
                </pic:pic>
              </a:graphicData>
            </a:graphic>
          </wp:inline>
        </w:drawing>
      </w:r>
      <w:r w:rsidRPr="00E732EF">
        <w:rPr>
          <w:rFonts w:ascii="Times New Roman" w:eastAsia="Calibri" w:hAnsi="Times New Roman" w:cs="Times New Roman"/>
          <w:noProof/>
          <w:lang w:eastAsia="hr-HR"/>
        </w:rPr>
        <w:t xml:space="preserve">  </w:t>
      </w:r>
      <w:r>
        <w:rPr>
          <w:rFonts w:ascii="Times New Roman" w:eastAsia="Calibri" w:hAnsi="Times New Roman" w:cs="Times New Roman"/>
          <w:noProof/>
          <w:lang w:eastAsia="hr-HR"/>
        </w:rPr>
        <w:drawing>
          <wp:inline distT="0" distB="0" distL="0" distR="0" wp14:anchorId="32BC8367" wp14:editId="0509DFF6">
            <wp:extent cx="2673985" cy="1863090"/>
            <wp:effectExtent l="0" t="0" r="0" b="3810"/>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673985" cy="1863090"/>
                    </a:xfrm>
                    <a:prstGeom prst="rect">
                      <a:avLst/>
                    </a:prstGeom>
                    <a:noFill/>
                    <a:ln>
                      <a:noFill/>
                    </a:ln>
                  </pic:spPr>
                </pic:pic>
              </a:graphicData>
            </a:graphic>
          </wp:inline>
        </w:drawing>
      </w:r>
    </w:p>
    <w:p w14:paraId="3B014074" w14:textId="77777777" w:rsidR="00E732EF" w:rsidRPr="00E732EF" w:rsidRDefault="00E732EF" w:rsidP="00E732EF">
      <w:pPr>
        <w:spacing w:after="0" w:line="240" w:lineRule="auto"/>
        <w:rPr>
          <w:rFonts w:ascii="Times New Roman" w:eastAsia="Calibri" w:hAnsi="Times New Roman" w:cs="Times New Roman"/>
          <w:noProof/>
          <w:lang w:eastAsia="hr-HR"/>
        </w:rPr>
      </w:pPr>
      <w:r w:rsidRPr="00E732EF">
        <w:rPr>
          <w:rFonts w:ascii="Times New Roman" w:eastAsia="Calibri" w:hAnsi="Times New Roman" w:cs="Times New Roman"/>
          <w:noProof/>
          <w:lang w:eastAsia="hr-HR"/>
        </w:rPr>
        <w:t>Slika 5: Karta podložnosti na klizanje tla i odrone za Hrvatsku i Općinu Sveti Juraj na Bregu</w:t>
      </w:r>
    </w:p>
    <w:p w14:paraId="3A127F34" w14:textId="77777777" w:rsidR="00E732EF" w:rsidRPr="00E732EF" w:rsidRDefault="00E732EF" w:rsidP="00E732EF">
      <w:pPr>
        <w:spacing w:after="0" w:line="240" w:lineRule="auto"/>
        <w:rPr>
          <w:rFonts w:ascii="Times New Roman" w:eastAsia="Calibri" w:hAnsi="Times New Roman" w:cs="Times New Roman"/>
          <w:i/>
          <w:iCs/>
          <w:noProof/>
          <w:lang w:eastAsia="hr-HR"/>
        </w:rPr>
      </w:pPr>
      <w:r>
        <w:rPr>
          <w:rFonts w:ascii="Times New Roman" w:eastAsia="Calibri" w:hAnsi="Times New Roman" w:cs="Times New Roman"/>
          <w:i/>
          <w:iCs/>
          <w:noProof/>
          <w:lang w:eastAsia="hr-HR"/>
        </w:rPr>
        <w:drawing>
          <wp:inline distT="0" distB="0" distL="0" distR="0" wp14:anchorId="66E1962A" wp14:editId="774AB321">
            <wp:extent cx="3597275" cy="3295015"/>
            <wp:effectExtent l="0" t="0" r="3175" b="635"/>
            <wp:docPr id="8" name="Slika 8"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597275" cy="3295015"/>
                    </a:xfrm>
                    <a:prstGeom prst="rect">
                      <a:avLst/>
                    </a:prstGeom>
                    <a:noFill/>
                    <a:ln>
                      <a:noFill/>
                    </a:ln>
                  </pic:spPr>
                </pic:pic>
              </a:graphicData>
            </a:graphic>
          </wp:inline>
        </w:drawing>
      </w:r>
    </w:p>
    <w:p w14:paraId="72A6B84B" w14:textId="77777777" w:rsidR="00E732EF" w:rsidRPr="00E732EF" w:rsidRDefault="00E732EF" w:rsidP="00E732EF">
      <w:pPr>
        <w:spacing w:after="0" w:line="240" w:lineRule="auto"/>
        <w:rPr>
          <w:rFonts w:ascii="Times New Roman" w:eastAsia="Calibri" w:hAnsi="Times New Roman" w:cs="Times New Roman"/>
          <w:i/>
          <w:iCs/>
          <w:noProof/>
          <w:lang w:eastAsia="hr-HR"/>
        </w:rPr>
      </w:pPr>
    </w:p>
    <w:p w14:paraId="00F8FD40" w14:textId="77777777" w:rsidR="00E732EF" w:rsidRPr="00E732EF" w:rsidRDefault="00E732EF" w:rsidP="00E732EF">
      <w:pPr>
        <w:spacing w:after="0" w:line="240" w:lineRule="auto"/>
        <w:rPr>
          <w:rFonts w:ascii="Times New Roman" w:eastAsia="Calibri" w:hAnsi="Times New Roman" w:cs="Times New Roman"/>
          <w:i/>
          <w:iCs/>
          <w:noProof/>
          <w:lang w:eastAsia="hr-HR"/>
        </w:rPr>
      </w:pPr>
    </w:p>
    <w:p w14:paraId="6B183838" w14:textId="77777777" w:rsidR="00E732EF" w:rsidRPr="00E732EF" w:rsidRDefault="00E732EF" w:rsidP="00E732EF">
      <w:pPr>
        <w:spacing w:after="0" w:line="240" w:lineRule="auto"/>
        <w:rPr>
          <w:rFonts w:ascii="Times New Roman" w:eastAsia="Calibri" w:hAnsi="Times New Roman" w:cs="Times New Roman"/>
          <w:i/>
          <w:iCs/>
          <w:noProof/>
          <w:lang w:eastAsia="hr-HR"/>
        </w:rPr>
      </w:pPr>
    </w:p>
    <w:p w14:paraId="1B31B07D" w14:textId="77777777" w:rsidR="00E732EF" w:rsidRPr="00E732EF" w:rsidRDefault="00E732EF" w:rsidP="00E732EF">
      <w:pPr>
        <w:spacing w:after="0" w:line="240" w:lineRule="auto"/>
        <w:rPr>
          <w:rFonts w:ascii="Times New Roman" w:eastAsia="Calibri" w:hAnsi="Times New Roman" w:cs="Times New Roman"/>
          <w:i/>
          <w:iCs/>
          <w:noProof/>
          <w:lang w:eastAsia="hr-HR"/>
        </w:rPr>
      </w:pPr>
    </w:p>
    <w:p w14:paraId="5C4C58E4" w14:textId="77777777" w:rsidR="00E732EF" w:rsidRPr="00E732EF" w:rsidRDefault="00E732EF" w:rsidP="00E732EF">
      <w:pPr>
        <w:spacing w:after="0" w:line="240" w:lineRule="auto"/>
        <w:rPr>
          <w:rFonts w:ascii="Times New Roman" w:eastAsia="Calibri" w:hAnsi="Times New Roman" w:cs="Times New Roman"/>
          <w:i/>
          <w:iCs/>
          <w:noProof/>
          <w:lang w:eastAsia="hr-HR"/>
        </w:rPr>
      </w:pPr>
    </w:p>
    <w:p w14:paraId="77FB067B" w14:textId="77777777" w:rsidR="00E732EF" w:rsidRPr="00E732EF" w:rsidRDefault="00E732EF" w:rsidP="00E732EF">
      <w:pPr>
        <w:spacing w:after="0" w:line="240" w:lineRule="auto"/>
        <w:rPr>
          <w:rFonts w:ascii="Times New Roman" w:eastAsia="Calibri" w:hAnsi="Times New Roman" w:cs="Times New Roman"/>
          <w:i/>
          <w:iCs/>
          <w:noProof/>
          <w:lang w:eastAsia="hr-HR"/>
        </w:rPr>
      </w:pPr>
    </w:p>
    <w:p w14:paraId="74348CD9" w14:textId="77777777" w:rsidR="00E732EF" w:rsidRPr="00E732EF" w:rsidRDefault="00E732EF" w:rsidP="00E732EF">
      <w:pPr>
        <w:spacing w:after="0" w:line="240" w:lineRule="auto"/>
        <w:rPr>
          <w:rFonts w:ascii="Times New Roman" w:eastAsia="Calibri" w:hAnsi="Times New Roman" w:cs="Times New Roman"/>
          <w:i/>
          <w:iCs/>
          <w:noProof/>
          <w:lang w:eastAsia="hr-HR"/>
        </w:rPr>
      </w:pPr>
    </w:p>
    <w:p w14:paraId="1F0C5DE4" w14:textId="77777777" w:rsidR="00E732EF" w:rsidRPr="00E732EF" w:rsidRDefault="00E732EF" w:rsidP="00E732EF">
      <w:pPr>
        <w:spacing w:after="0" w:line="240" w:lineRule="auto"/>
        <w:jc w:val="both"/>
        <w:rPr>
          <w:rFonts w:ascii="Times New Roman" w:eastAsia="Calibri" w:hAnsi="Times New Roman" w:cs="Times New Roman"/>
          <w:noProof/>
          <w:lang w:eastAsia="hr-HR"/>
        </w:rPr>
      </w:pPr>
      <w:r w:rsidRPr="00E732EF">
        <w:rPr>
          <w:rFonts w:ascii="Times New Roman" w:eastAsia="Calibri" w:hAnsi="Times New Roman" w:cs="Times New Roman"/>
          <w:noProof/>
          <w:lang w:eastAsia="hr-HR"/>
        </w:rPr>
        <w:lastRenderedPageBreak/>
        <w:t>Tablica 6: Uzroci, štete i posljedice klizanja tla</w:t>
      </w:r>
    </w:p>
    <w:tbl>
      <w:tblPr>
        <w:tblW w:w="0" w:type="auto"/>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5"/>
        <w:gridCol w:w="3135"/>
        <w:gridCol w:w="2760"/>
      </w:tblGrid>
      <w:tr w:rsidR="00E732EF" w:rsidRPr="00E732EF" w14:paraId="555CE267" w14:textId="77777777" w:rsidTr="00E732EF">
        <w:trPr>
          <w:trHeight w:val="196"/>
        </w:trPr>
        <w:tc>
          <w:tcPr>
            <w:tcW w:w="8730" w:type="dxa"/>
            <w:gridSpan w:val="3"/>
            <w:shd w:val="clear" w:color="auto" w:fill="FFC000"/>
          </w:tcPr>
          <w:p w14:paraId="387AAD73" w14:textId="77777777" w:rsidR="00E732EF" w:rsidRPr="00E732EF" w:rsidRDefault="00E732EF" w:rsidP="00E732EF">
            <w:pPr>
              <w:spacing w:after="0" w:line="240" w:lineRule="auto"/>
              <w:jc w:val="center"/>
              <w:rPr>
                <w:rFonts w:ascii="Times New Roman" w:eastAsia="Calibri" w:hAnsi="Times New Roman" w:cs="Times New Roman"/>
                <w:b/>
                <w:bCs/>
                <w:noProof/>
                <w:lang w:eastAsia="hr-HR"/>
              </w:rPr>
            </w:pPr>
            <w:r w:rsidRPr="00E732EF">
              <w:rPr>
                <w:rFonts w:ascii="Times New Roman" w:eastAsia="Calibri" w:hAnsi="Times New Roman" w:cs="Times New Roman"/>
                <w:b/>
                <w:bCs/>
                <w:noProof/>
                <w:lang w:eastAsia="hr-HR"/>
              </w:rPr>
              <w:t>KLIZANJE  TLA</w:t>
            </w:r>
          </w:p>
        </w:tc>
      </w:tr>
      <w:tr w:rsidR="00E732EF" w:rsidRPr="00E732EF" w14:paraId="6F8B8E8B" w14:textId="77777777" w:rsidTr="00E732EF">
        <w:trPr>
          <w:trHeight w:val="270"/>
        </w:trPr>
        <w:tc>
          <w:tcPr>
            <w:tcW w:w="2835" w:type="dxa"/>
            <w:shd w:val="clear" w:color="auto" w:fill="FFC000"/>
          </w:tcPr>
          <w:p w14:paraId="67666A26" w14:textId="77777777" w:rsidR="00E732EF" w:rsidRPr="00E732EF" w:rsidRDefault="00E732EF" w:rsidP="00E732EF">
            <w:pPr>
              <w:spacing w:after="0" w:line="240" w:lineRule="auto"/>
              <w:jc w:val="center"/>
              <w:rPr>
                <w:rFonts w:ascii="Times New Roman" w:eastAsia="Calibri" w:hAnsi="Times New Roman" w:cs="Times New Roman"/>
                <w:b/>
                <w:bCs/>
                <w:noProof/>
                <w:sz w:val="20"/>
                <w:szCs w:val="20"/>
                <w:lang w:eastAsia="hr-HR"/>
              </w:rPr>
            </w:pPr>
            <w:r w:rsidRPr="00E732EF">
              <w:rPr>
                <w:rFonts w:ascii="Times New Roman" w:eastAsia="Calibri" w:hAnsi="Times New Roman" w:cs="Times New Roman"/>
                <w:b/>
                <w:bCs/>
                <w:noProof/>
                <w:sz w:val="20"/>
                <w:szCs w:val="20"/>
                <w:lang w:eastAsia="hr-HR"/>
              </w:rPr>
              <w:t>Uzroci</w:t>
            </w:r>
          </w:p>
        </w:tc>
        <w:tc>
          <w:tcPr>
            <w:tcW w:w="3135" w:type="dxa"/>
            <w:shd w:val="clear" w:color="auto" w:fill="FFC000"/>
          </w:tcPr>
          <w:p w14:paraId="5F0320C0" w14:textId="77777777" w:rsidR="00E732EF" w:rsidRPr="00E732EF" w:rsidRDefault="00E732EF" w:rsidP="00E732EF">
            <w:pPr>
              <w:spacing w:after="0" w:line="240" w:lineRule="auto"/>
              <w:jc w:val="center"/>
              <w:rPr>
                <w:rFonts w:ascii="Times New Roman" w:eastAsia="Calibri" w:hAnsi="Times New Roman" w:cs="Times New Roman"/>
                <w:b/>
                <w:bCs/>
                <w:noProof/>
                <w:sz w:val="20"/>
                <w:szCs w:val="20"/>
                <w:lang w:eastAsia="hr-HR"/>
              </w:rPr>
            </w:pPr>
            <w:r w:rsidRPr="00E732EF">
              <w:rPr>
                <w:rFonts w:ascii="Times New Roman" w:eastAsia="Calibri" w:hAnsi="Times New Roman" w:cs="Times New Roman"/>
                <w:b/>
                <w:bCs/>
                <w:noProof/>
                <w:sz w:val="20"/>
                <w:szCs w:val="20"/>
                <w:lang w:eastAsia="hr-HR"/>
              </w:rPr>
              <w:t>Oštećenja od klizanja na klizištu</w:t>
            </w:r>
          </w:p>
        </w:tc>
        <w:tc>
          <w:tcPr>
            <w:tcW w:w="2760" w:type="dxa"/>
            <w:shd w:val="clear" w:color="auto" w:fill="FFC000"/>
          </w:tcPr>
          <w:p w14:paraId="160C43A3" w14:textId="77777777" w:rsidR="00E732EF" w:rsidRPr="00E732EF" w:rsidRDefault="00E732EF" w:rsidP="00E732EF">
            <w:pPr>
              <w:spacing w:after="0" w:line="240" w:lineRule="auto"/>
              <w:jc w:val="center"/>
              <w:rPr>
                <w:rFonts w:ascii="Times New Roman" w:eastAsia="Calibri" w:hAnsi="Times New Roman" w:cs="Times New Roman"/>
                <w:b/>
                <w:bCs/>
                <w:noProof/>
                <w:sz w:val="20"/>
                <w:szCs w:val="20"/>
                <w:lang w:eastAsia="hr-HR"/>
              </w:rPr>
            </w:pPr>
            <w:r w:rsidRPr="00E732EF">
              <w:rPr>
                <w:rFonts w:ascii="Times New Roman" w:eastAsia="Calibri" w:hAnsi="Times New Roman" w:cs="Times New Roman"/>
                <w:b/>
                <w:bCs/>
                <w:noProof/>
                <w:sz w:val="20"/>
                <w:szCs w:val="20"/>
                <w:lang w:eastAsia="hr-HR"/>
              </w:rPr>
              <w:t>Posljedice</w:t>
            </w:r>
          </w:p>
        </w:tc>
      </w:tr>
      <w:tr w:rsidR="00E732EF" w:rsidRPr="00E732EF" w14:paraId="460A23DA" w14:textId="77777777" w:rsidTr="00E732EF">
        <w:trPr>
          <w:trHeight w:val="2973"/>
        </w:trPr>
        <w:tc>
          <w:tcPr>
            <w:tcW w:w="2835" w:type="dxa"/>
          </w:tcPr>
          <w:p w14:paraId="57E84B87"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Obilne oborine</w:t>
            </w:r>
          </w:p>
          <w:p w14:paraId="05A65C94"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Potres</w:t>
            </w:r>
          </w:p>
          <w:p w14:paraId="5A3A47C5"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Produbljenje korita vodotoka s potkopavanjem nožice kosine</w:t>
            </w:r>
          </w:p>
          <w:p w14:paraId="08E03EA4"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Vulkanske erupcije</w:t>
            </w:r>
          </w:p>
          <w:p w14:paraId="1DCFC68A"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Puknuće cjevovoda (vodovoda) na vrhu padine</w:t>
            </w:r>
          </w:p>
          <w:p w14:paraId="47004F02"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Poremećaj razine podzemne vode</w:t>
            </w:r>
          </w:p>
          <w:p w14:paraId="71E3E660"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Izgradnja građevina na potencijalnom klizištu (naročito na gornjoj polovini)</w:t>
            </w:r>
          </w:p>
          <w:p w14:paraId="4F09EB3B" w14:textId="77777777" w:rsidR="00E732EF" w:rsidRPr="00E732EF" w:rsidRDefault="00E732EF" w:rsidP="00E732EF">
            <w:pPr>
              <w:spacing w:after="0" w:line="240" w:lineRule="auto"/>
              <w:jc w:val="center"/>
              <w:rPr>
                <w:rFonts w:ascii="Times New Roman" w:eastAsia="Calibri" w:hAnsi="Times New Roman" w:cs="Times New Roman"/>
                <w:noProof/>
                <w:lang w:eastAsia="hr-HR"/>
              </w:rPr>
            </w:pPr>
            <w:r w:rsidRPr="00E732EF">
              <w:rPr>
                <w:rFonts w:ascii="Times New Roman" w:eastAsia="Calibri" w:hAnsi="Times New Roman" w:cs="Times New Roman"/>
                <w:noProof/>
                <w:sz w:val="20"/>
                <w:szCs w:val="20"/>
                <w:lang w:eastAsia="hr-HR"/>
              </w:rPr>
              <w:t>Zasijecanje u kosinu</w:t>
            </w:r>
          </w:p>
        </w:tc>
        <w:tc>
          <w:tcPr>
            <w:tcW w:w="3135" w:type="dxa"/>
          </w:tcPr>
          <w:p w14:paraId="4A922819"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Srušeni objekti i zgrade</w:t>
            </w:r>
          </w:p>
          <w:p w14:paraId="641935F9"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Otklizali objekti i zgrade</w:t>
            </w:r>
          </w:p>
          <w:p w14:paraId="36388B11"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Uništeni cjevovodi raznih namjena</w:t>
            </w:r>
          </w:p>
          <w:p w14:paraId="323BDD73"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Otklizale prometnice</w:t>
            </w:r>
          </w:p>
          <w:p w14:paraId="3DAB4930"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Pregrađene prometnice</w:t>
            </w:r>
          </w:p>
          <w:p w14:paraId="6F238A0E"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Pregrađeni vodotoci</w:t>
            </w:r>
          </w:p>
          <w:p w14:paraId="41743033"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Uništeni dalekovodi i slična infrastruktura</w:t>
            </w:r>
          </w:p>
          <w:p w14:paraId="2169EAC6" w14:textId="77777777" w:rsidR="00E732EF" w:rsidRPr="00E732EF" w:rsidRDefault="00E732EF" w:rsidP="00E732EF">
            <w:pPr>
              <w:spacing w:after="0" w:line="240" w:lineRule="auto"/>
              <w:jc w:val="center"/>
              <w:rPr>
                <w:rFonts w:ascii="Times New Roman" w:eastAsia="Calibri" w:hAnsi="Times New Roman" w:cs="Times New Roman"/>
                <w:noProof/>
                <w:lang w:eastAsia="hr-HR"/>
              </w:rPr>
            </w:pPr>
            <w:r w:rsidRPr="00E732EF">
              <w:rPr>
                <w:rFonts w:ascii="Times New Roman" w:eastAsia="Calibri" w:hAnsi="Times New Roman" w:cs="Times New Roman"/>
                <w:noProof/>
                <w:sz w:val="20"/>
                <w:szCs w:val="20"/>
                <w:lang w:eastAsia="hr-HR"/>
              </w:rPr>
              <w:t>Uništena vegetacija</w:t>
            </w:r>
          </w:p>
          <w:p w14:paraId="77606406" w14:textId="77777777" w:rsidR="00E732EF" w:rsidRPr="00E732EF" w:rsidRDefault="00E732EF" w:rsidP="00E732EF">
            <w:pPr>
              <w:spacing w:after="0" w:line="240" w:lineRule="auto"/>
              <w:rPr>
                <w:rFonts w:ascii="Times New Roman" w:eastAsia="Calibri" w:hAnsi="Times New Roman" w:cs="Times New Roman"/>
                <w:noProof/>
                <w:lang w:eastAsia="hr-HR"/>
              </w:rPr>
            </w:pPr>
          </w:p>
        </w:tc>
        <w:tc>
          <w:tcPr>
            <w:tcW w:w="2760" w:type="dxa"/>
          </w:tcPr>
          <w:p w14:paraId="47EA3FED"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Potres</w:t>
            </w:r>
          </w:p>
          <w:p w14:paraId="00A349C8"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Cunami</w:t>
            </w:r>
          </w:p>
          <w:p w14:paraId="1352399A"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Pregradnja vodotoka</w:t>
            </w:r>
          </w:p>
          <w:p w14:paraId="54788869"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Poplave uzvodno od pregrade</w:t>
            </w:r>
          </w:p>
          <w:p w14:paraId="2F1603B8"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Poplave nizvodno od pregrade nakon njenog rušenja</w:t>
            </w:r>
          </w:p>
          <w:p w14:paraId="7A996449"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Premještanje korita potoka i rijeka</w:t>
            </w:r>
          </w:p>
          <w:p w14:paraId="69A9386E" w14:textId="77777777" w:rsidR="00E732EF" w:rsidRPr="00E732EF" w:rsidRDefault="00E732EF" w:rsidP="00E732EF">
            <w:pPr>
              <w:spacing w:after="0" w:line="240" w:lineRule="auto"/>
              <w:jc w:val="center"/>
              <w:rPr>
                <w:rFonts w:ascii="Times New Roman" w:eastAsia="Calibri" w:hAnsi="Times New Roman" w:cs="Times New Roman"/>
                <w:noProof/>
                <w:sz w:val="20"/>
                <w:szCs w:val="20"/>
                <w:lang w:eastAsia="hr-HR"/>
              </w:rPr>
            </w:pPr>
            <w:r w:rsidRPr="00E732EF">
              <w:rPr>
                <w:rFonts w:ascii="Times New Roman" w:eastAsia="Calibri" w:hAnsi="Times New Roman" w:cs="Times New Roman"/>
                <w:noProof/>
                <w:sz w:val="20"/>
                <w:szCs w:val="20"/>
                <w:lang w:eastAsia="hr-HR"/>
              </w:rPr>
              <w:t>Stvaranje novog područja potencijalnog klizišta</w:t>
            </w:r>
          </w:p>
          <w:p w14:paraId="1BE6D42A" w14:textId="77777777" w:rsidR="00E732EF" w:rsidRPr="00E732EF" w:rsidRDefault="00E732EF" w:rsidP="00E732EF">
            <w:pPr>
              <w:spacing w:after="0" w:line="240" w:lineRule="auto"/>
              <w:jc w:val="center"/>
              <w:rPr>
                <w:rFonts w:ascii="Times New Roman" w:eastAsia="Calibri" w:hAnsi="Times New Roman" w:cs="Times New Roman"/>
                <w:noProof/>
                <w:lang w:eastAsia="hr-HR"/>
              </w:rPr>
            </w:pPr>
            <w:r w:rsidRPr="00E732EF">
              <w:rPr>
                <w:rFonts w:ascii="Times New Roman" w:eastAsia="Calibri" w:hAnsi="Times New Roman" w:cs="Times New Roman"/>
                <w:noProof/>
                <w:sz w:val="20"/>
                <w:szCs w:val="20"/>
                <w:lang w:eastAsia="hr-HR"/>
              </w:rPr>
              <w:t>Promjena reljefa</w:t>
            </w:r>
          </w:p>
          <w:p w14:paraId="016620EF" w14:textId="77777777" w:rsidR="00E732EF" w:rsidRPr="00E732EF" w:rsidRDefault="00E732EF" w:rsidP="00E732EF">
            <w:pPr>
              <w:spacing w:after="0" w:line="240" w:lineRule="auto"/>
              <w:rPr>
                <w:rFonts w:ascii="Times New Roman" w:eastAsia="Calibri" w:hAnsi="Times New Roman" w:cs="Times New Roman"/>
                <w:noProof/>
                <w:lang w:eastAsia="hr-HR"/>
              </w:rPr>
            </w:pPr>
          </w:p>
        </w:tc>
      </w:tr>
    </w:tbl>
    <w:p w14:paraId="0E0E306D" w14:textId="77777777" w:rsidR="00E732EF" w:rsidRPr="00E732EF" w:rsidRDefault="00E732EF" w:rsidP="00E732EF">
      <w:pPr>
        <w:spacing w:after="0" w:line="240" w:lineRule="auto"/>
        <w:rPr>
          <w:rFonts w:ascii="Times New Roman" w:eastAsia="Calibri" w:hAnsi="Times New Roman" w:cs="Times New Roman"/>
          <w:i/>
          <w:iCs/>
          <w:noProof/>
          <w:lang w:eastAsia="hr-HR"/>
        </w:rPr>
      </w:pPr>
    </w:p>
    <w:p w14:paraId="51647673" w14:textId="77777777" w:rsidR="00E732EF" w:rsidRPr="00E732EF" w:rsidRDefault="00E732EF" w:rsidP="00E732EF">
      <w:pPr>
        <w:spacing w:after="0" w:line="240" w:lineRule="auto"/>
        <w:rPr>
          <w:rFonts w:ascii="Times New Roman" w:eastAsia="Calibri" w:hAnsi="Times New Roman" w:cs="Times New Roman"/>
          <w:i/>
          <w:iCs/>
          <w:noProof/>
          <w:lang w:eastAsia="hr-HR"/>
        </w:rPr>
      </w:pPr>
      <w:r w:rsidRPr="00E732EF">
        <w:rPr>
          <w:rFonts w:ascii="Times New Roman" w:eastAsia="Calibri" w:hAnsi="Times New Roman" w:cs="Times New Roman"/>
          <w:i/>
          <w:iCs/>
          <w:noProof/>
          <w:lang w:eastAsia="hr-HR"/>
        </w:rPr>
        <w:t>Kratkoročne mjere kod pojavnosti klizišta:</w:t>
      </w:r>
    </w:p>
    <w:p w14:paraId="1621041A" w14:textId="77777777" w:rsidR="00E732EF" w:rsidRPr="00E732EF" w:rsidRDefault="00E732EF" w:rsidP="00E732EF">
      <w:pPr>
        <w:numPr>
          <w:ilvl w:val="0"/>
          <w:numId w:val="15"/>
        </w:numPr>
        <w:spacing w:after="0" w:line="240" w:lineRule="auto"/>
        <w:rPr>
          <w:rFonts w:ascii="Times New Roman" w:eastAsia="Calibri" w:hAnsi="Times New Roman" w:cs="Times New Roman"/>
          <w:noProof/>
          <w:lang w:eastAsia="hr-HR"/>
        </w:rPr>
      </w:pPr>
      <w:r w:rsidRPr="00E732EF">
        <w:rPr>
          <w:rFonts w:ascii="Times New Roman" w:eastAsia="Calibri" w:hAnsi="Times New Roman" w:cs="Times New Roman"/>
          <w:noProof/>
          <w:lang w:eastAsia="hr-HR"/>
        </w:rPr>
        <w:t>blokada balvanima</w:t>
      </w:r>
    </w:p>
    <w:p w14:paraId="0BA7299F" w14:textId="77777777" w:rsidR="00E732EF" w:rsidRPr="00E732EF" w:rsidRDefault="00E732EF" w:rsidP="00E732EF">
      <w:pPr>
        <w:numPr>
          <w:ilvl w:val="0"/>
          <w:numId w:val="15"/>
        </w:numPr>
        <w:spacing w:after="0" w:line="240" w:lineRule="auto"/>
        <w:rPr>
          <w:rFonts w:ascii="Times New Roman" w:eastAsia="Calibri" w:hAnsi="Times New Roman" w:cs="Times New Roman"/>
          <w:noProof/>
          <w:lang w:eastAsia="hr-HR"/>
        </w:rPr>
      </w:pPr>
      <w:r w:rsidRPr="00E732EF">
        <w:rPr>
          <w:rFonts w:ascii="Times New Roman" w:eastAsia="Calibri" w:hAnsi="Times New Roman" w:cs="Times New Roman"/>
          <w:noProof/>
          <w:lang w:eastAsia="hr-HR"/>
        </w:rPr>
        <w:t>drenaža tla za odvod vode iz zemlje koja se postavlja u dubinu ili na površinu, ili kanali za odvodnju</w:t>
      </w:r>
    </w:p>
    <w:p w14:paraId="26F479E0" w14:textId="77777777" w:rsidR="00E732EF" w:rsidRPr="00E732EF" w:rsidRDefault="00E732EF" w:rsidP="00E732EF">
      <w:pPr>
        <w:numPr>
          <w:ilvl w:val="0"/>
          <w:numId w:val="15"/>
        </w:numPr>
        <w:spacing w:after="0" w:line="240" w:lineRule="auto"/>
        <w:rPr>
          <w:rFonts w:ascii="Times New Roman" w:eastAsia="Calibri" w:hAnsi="Times New Roman" w:cs="Times New Roman"/>
          <w:noProof/>
          <w:lang w:eastAsia="hr-HR"/>
        </w:rPr>
      </w:pPr>
      <w:r w:rsidRPr="00E732EF">
        <w:rPr>
          <w:rFonts w:ascii="Times New Roman" w:eastAsia="Calibri" w:hAnsi="Times New Roman" w:cs="Times New Roman"/>
          <w:noProof/>
          <w:lang w:eastAsia="hr-HR"/>
        </w:rPr>
        <w:t>stabilizacija tla uz pomoć ježeva</w:t>
      </w:r>
    </w:p>
    <w:p w14:paraId="0BF45A4C" w14:textId="77777777" w:rsidR="00E732EF" w:rsidRPr="00E732EF" w:rsidRDefault="00E732EF" w:rsidP="00E732EF">
      <w:pPr>
        <w:numPr>
          <w:ilvl w:val="0"/>
          <w:numId w:val="15"/>
        </w:numPr>
        <w:spacing w:after="0" w:line="240" w:lineRule="auto"/>
        <w:rPr>
          <w:rFonts w:ascii="Times New Roman" w:eastAsia="Calibri" w:hAnsi="Times New Roman" w:cs="Times New Roman"/>
          <w:noProof/>
          <w:lang w:eastAsia="hr-HR"/>
        </w:rPr>
      </w:pPr>
      <w:r w:rsidRPr="00E732EF">
        <w:rPr>
          <w:rFonts w:ascii="Times New Roman" w:eastAsia="Calibri" w:hAnsi="Times New Roman" w:cs="Times New Roman"/>
          <w:noProof/>
          <w:lang w:eastAsia="hr-HR"/>
        </w:rPr>
        <w:t>kod manjih odrona pomažu i zečji nasipi od vreća pijeska</w:t>
      </w:r>
    </w:p>
    <w:p w14:paraId="3838D9DF" w14:textId="77777777" w:rsidR="00E732EF" w:rsidRPr="00E732EF" w:rsidRDefault="00E732EF" w:rsidP="00E732EF">
      <w:pPr>
        <w:numPr>
          <w:ilvl w:val="0"/>
          <w:numId w:val="15"/>
        </w:numPr>
        <w:spacing w:after="0" w:line="240" w:lineRule="auto"/>
        <w:rPr>
          <w:rFonts w:ascii="Times New Roman" w:eastAsia="Calibri" w:hAnsi="Times New Roman" w:cs="Times New Roman"/>
          <w:noProof/>
          <w:lang w:eastAsia="hr-HR"/>
        </w:rPr>
      </w:pPr>
      <w:r w:rsidRPr="00E732EF">
        <w:rPr>
          <w:rFonts w:ascii="Times New Roman" w:eastAsia="Calibri" w:hAnsi="Times New Roman" w:cs="Times New Roman"/>
          <w:noProof/>
          <w:lang w:eastAsia="hr-HR"/>
        </w:rPr>
        <w:t>prekrivanje površina pod kišom vodootpornim ceradama i PVC folijom da bi se spriječilo dalje natapanje tla vodom</w:t>
      </w:r>
    </w:p>
    <w:p w14:paraId="780B05B1" w14:textId="77777777" w:rsidR="00E732EF" w:rsidRPr="00E732EF" w:rsidRDefault="00E732EF" w:rsidP="00E732EF">
      <w:pPr>
        <w:spacing w:after="0" w:line="240" w:lineRule="auto"/>
        <w:rPr>
          <w:rFonts w:ascii="Times New Roman" w:eastAsia="Calibri" w:hAnsi="Times New Roman" w:cs="Times New Roman"/>
          <w:i/>
          <w:iCs/>
          <w:noProof/>
          <w:lang w:eastAsia="hr-HR"/>
        </w:rPr>
      </w:pPr>
    </w:p>
    <w:p w14:paraId="59E654A8" w14:textId="77777777" w:rsidR="00E732EF" w:rsidRPr="00E732EF" w:rsidRDefault="00E732EF" w:rsidP="00E732EF">
      <w:pPr>
        <w:spacing w:after="0" w:line="240" w:lineRule="auto"/>
        <w:rPr>
          <w:rFonts w:ascii="Times New Roman" w:eastAsia="Calibri" w:hAnsi="Times New Roman" w:cs="Times New Roman"/>
          <w:i/>
          <w:iCs/>
          <w:noProof/>
          <w:lang w:eastAsia="hr-HR"/>
        </w:rPr>
      </w:pPr>
      <w:r w:rsidRPr="00E732EF">
        <w:rPr>
          <w:rFonts w:ascii="Times New Roman" w:eastAsia="Calibri" w:hAnsi="Times New Roman" w:cs="Times New Roman"/>
          <w:i/>
          <w:iCs/>
          <w:noProof/>
          <w:lang w:eastAsia="hr-HR"/>
        </w:rPr>
        <w:t>Dugoročne mjere:</w:t>
      </w:r>
    </w:p>
    <w:p w14:paraId="744A8686" w14:textId="77777777" w:rsidR="00E732EF" w:rsidRPr="00E732EF" w:rsidRDefault="00E732EF" w:rsidP="00E732EF">
      <w:pPr>
        <w:numPr>
          <w:ilvl w:val="0"/>
          <w:numId w:val="16"/>
        </w:numPr>
        <w:spacing w:after="0" w:line="240" w:lineRule="auto"/>
        <w:rPr>
          <w:rFonts w:ascii="Times New Roman" w:eastAsia="Calibri" w:hAnsi="Times New Roman" w:cs="Times New Roman"/>
          <w:noProof/>
          <w:lang w:eastAsia="hr-HR"/>
        </w:rPr>
      </w:pPr>
      <w:r w:rsidRPr="00E732EF">
        <w:rPr>
          <w:rFonts w:ascii="Times New Roman" w:eastAsia="Calibri" w:hAnsi="Times New Roman" w:cs="Times New Roman"/>
          <w:noProof/>
          <w:lang w:eastAsia="hr-HR"/>
        </w:rPr>
        <w:t>zaštitni zidovi (armirani beton)</w:t>
      </w:r>
    </w:p>
    <w:p w14:paraId="6A17A62F" w14:textId="77777777" w:rsidR="00E732EF" w:rsidRPr="00E732EF" w:rsidRDefault="00E732EF" w:rsidP="00E732EF">
      <w:pPr>
        <w:numPr>
          <w:ilvl w:val="0"/>
          <w:numId w:val="16"/>
        </w:numPr>
        <w:spacing w:after="0" w:line="240" w:lineRule="auto"/>
        <w:rPr>
          <w:rFonts w:ascii="Times New Roman" w:eastAsia="Calibri" w:hAnsi="Times New Roman" w:cs="Times New Roman"/>
          <w:noProof/>
          <w:lang w:eastAsia="hr-HR"/>
        </w:rPr>
      </w:pPr>
      <w:r w:rsidRPr="00E732EF">
        <w:rPr>
          <w:rFonts w:ascii="Times New Roman" w:eastAsia="Calibri" w:hAnsi="Times New Roman" w:cs="Times New Roman"/>
          <w:noProof/>
          <w:lang w:eastAsia="hr-HR"/>
        </w:rPr>
        <w:t>pošumljavanje jer korijenje drveća stabilizira tlo</w:t>
      </w:r>
    </w:p>
    <w:p w14:paraId="284F3B4F" w14:textId="77777777" w:rsidR="00E732EF" w:rsidRPr="00E732EF" w:rsidRDefault="00E732EF" w:rsidP="00E732EF">
      <w:pPr>
        <w:numPr>
          <w:ilvl w:val="0"/>
          <w:numId w:val="16"/>
        </w:numPr>
        <w:spacing w:after="0" w:line="240" w:lineRule="auto"/>
        <w:rPr>
          <w:rFonts w:ascii="Times New Roman" w:eastAsia="Calibri" w:hAnsi="Times New Roman" w:cs="Times New Roman"/>
          <w:noProof/>
          <w:lang w:eastAsia="hr-HR"/>
        </w:rPr>
      </w:pPr>
      <w:r w:rsidRPr="00E732EF">
        <w:rPr>
          <w:rFonts w:ascii="Times New Roman" w:eastAsia="Calibri" w:hAnsi="Times New Roman" w:cs="Times New Roman"/>
          <w:noProof/>
          <w:lang w:eastAsia="hr-HR"/>
        </w:rPr>
        <w:t>smanjenje nagiba putem sanacije terena</w:t>
      </w:r>
    </w:p>
    <w:p w14:paraId="02A2FE33" w14:textId="77777777" w:rsidR="00E732EF" w:rsidRPr="00E732EF" w:rsidRDefault="00E732EF" w:rsidP="00E732EF">
      <w:pPr>
        <w:spacing w:after="0" w:line="240" w:lineRule="auto"/>
        <w:jc w:val="both"/>
        <w:rPr>
          <w:rFonts w:ascii="Times New Roman" w:eastAsia="Calibri" w:hAnsi="Times New Roman" w:cs="Times New Roman"/>
          <w:noProof/>
          <w:lang w:eastAsia="hr-HR"/>
        </w:rPr>
      </w:pPr>
    </w:p>
    <w:p w14:paraId="41FE9C5B"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i/>
          <w:iCs/>
          <w:noProof/>
        </w:rPr>
        <w:t>Procjena opasnosti od klizanja</w:t>
      </w:r>
      <w:r w:rsidRPr="00E732EF">
        <w:rPr>
          <w:rFonts w:ascii="Times New Roman" w:eastAsia="Calibri" w:hAnsi="Times New Roman" w:cs="Times New Roman"/>
          <w:noProof/>
        </w:rPr>
        <w:t xml:space="preserve"> u domeni je geoznanosti, a konačni rezultati procjena opasnosti su informacije za širok spektar korisnika, najčešće iz domene lokalne, regionalne i nacionalne uprave. Ove informacije osnova su za primjenu cijelog niza mjera za ublažavanje posljedica. Opasnost od klizanja procjenjuje se na osnovi istraživanja klizišta koje provode inženjerski geolozi i geotehničari. Nekoliko je razloga zbog kojih se provode istraživanja klizišta, a moguće ih je grupirati u četiri skupine opisane u nastavku. </w:t>
      </w:r>
    </w:p>
    <w:p w14:paraId="5FC120E2" w14:textId="77777777" w:rsidR="00E732EF" w:rsidRPr="00E732EF" w:rsidRDefault="00E732EF" w:rsidP="00E732EF">
      <w:pPr>
        <w:spacing w:after="0" w:line="240" w:lineRule="auto"/>
        <w:jc w:val="both"/>
        <w:rPr>
          <w:rFonts w:ascii="Times New Roman" w:eastAsia="Calibri" w:hAnsi="Times New Roman" w:cs="Times New Roman"/>
          <w:i/>
          <w:iCs/>
          <w:noProof/>
        </w:rPr>
      </w:pPr>
    </w:p>
    <w:p w14:paraId="0F175612"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b/>
          <w:bCs/>
          <w:i/>
          <w:iCs/>
          <w:noProof/>
        </w:rPr>
        <w:t>Ukoliko je klizište već nastalo</w:t>
      </w:r>
      <w:r w:rsidRPr="00E732EF">
        <w:rPr>
          <w:rFonts w:ascii="Times New Roman" w:eastAsia="Calibri" w:hAnsi="Times New Roman" w:cs="Times New Roman"/>
          <w:noProof/>
        </w:rPr>
        <w:t xml:space="preserve"> i ukoliko je nužno poduzeti mjere da se zaustavi pokrenuti proces klizanja i/ili da se zemljište osposobi za daljnje korištenje, postojeće klizište će se detaljno istraživati u svrhu projektiranja mjera sanacije. Rezultat detaljnog geotehničkog istraživanja pojedinog klizišta je prognostički model klizišta na temelju kojega se provode analize stabilnosti čime se definira područje koje ono ugrožava, kao i način da se potpuno ukloni opasnost koju ono predstavlja za ljude i materijalna dobra. Uobičajeni prikaz informacija daje se u okviru geotehničkog elaborata klizišta i građevinskih projekata mjera sanacije.</w:t>
      </w:r>
    </w:p>
    <w:p w14:paraId="0D4DAD76" w14:textId="77777777" w:rsidR="00E732EF" w:rsidRPr="00E732EF" w:rsidRDefault="00E732EF" w:rsidP="00E732EF">
      <w:pPr>
        <w:spacing w:after="0" w:line="240" w:lineRule="auto"/>
        <w:jc w:val="both"/>
        <w:rPr>
          <w:rFonts w:ascii="Times New Roman" w:eastAsia="Calibri" w:hAnsi="Times New Roman" w:cs="Times New Roman"/>
          <w:b/>
          <w:bCs/>
          <w:i/>
          <w:iCs/>
          <w:noProof/>
        </w:rPr>
      </w:pPr>
    </w:p>
    <w:p w14:paraId="78042ED4"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b/>
          <w:bCs/>
          <w:i/>
          <w:iCs/>
          <w:noProof/>
        </w:rPr>
        <w:t>Na područjima gdje postoje klizišta, ali ne predstavljaju opasnost za ljude i materijalna</w:t>
      </w:r>
      <w:r w:rsidRPr="00E732EF">
        <w:rPr>
          <w:rFonts w:ascii="Times New Roman" w:eastAsia="Calibri" w:hAnsi="Times New Roman" w:cs="Times New Roman"/>
          <w:i/>
          <w:iCs/>
          <w:noProof/>
        </w:rPr>
        <w:t xml:space="preserve"> </w:t>
      </w:r>
      <w:r w:rsidRPr="00E732EF">
        <w:rPr>
          <w:rFonts w:ascii="Times New Roman" w:eastAsia="Calibri" w:hAnsi="Times New Roman" w:cs="Times New Roman"/>
          <w:b/>
          <w:bCs/>
          <w:i/>
          <w:iCs/>
          <w:noProof/>
        </w:rPr>
        <w:t>dobra</w:t>
      </w:r>
      <w:r w:rsidRPr="00E732EF">
        <w:rPr>
          <w:rFonts w:ascii="Times New Roman" w:eastAsia="Calibri" w:hAnsi="Times New Roman" w:cs="Times New Roman"/>
          <w:b/>
          <w:bCs/>
          <w:noProof/>
        </w:rPr>
        <w:t xml:space="preserve"> </w:t>
      </w:r>
      <w:r w:rsidRPr="00E732EF">
        <w:rPr>
          <w:rFonts w:ascii="Times New Roman" w:eastAsia="Calibri" w:hAnsi="Times New Roman" w:cs="Times New Roman"/>
          <w:noProof/>
        </w:rPr>
        <w:t xml:space="preserve">(npr. nalaze se u šumi) ili na područjima koja su potencijalno opasna za nastanak novih klizišta, nužno je provoditi daljinska istraživanja radi prevencije nastanka potencijalnih klizišta. Mjere prevencije provode se kroz sustav prostornog planiranja, na način Upravljanje kriznim situacijama uslijed pokretanja klizišta da se u fazama izrade prostornih planova ovakva područja izostave iz namjena kao što je građevinska namjena. U tu svrhu nužno je izraditi karte postojećih klizišta, kao i prognozne karte opasnosti i ugroženosti od klizanja. </w:t>
      </w:r>
    </w:p>
    <w:p w14:paraId="5385663D" w14:textId="77777777" w:rsidR="00E732EF" w:rsidRPr="00E732EF" w:rsidRDefault="00E732EF" w:rsidP="00E732EF">
      <w:pPr>
        <w:spacing w:after="0" w:line="240" w:lineRule="auto"/>
        <w:jc w:val="both"/>
        <w:rPr>
          <w:rFonts w:ascii="Times New Roman" w:eastAsia="Calibri" w:hAnsi="Times New Roman" w:cs="Times New Roman"/>
          <w:b/>
          <w:bCs/>
          <w:i/>
          <w:iCs/>
          <w:noProof/>
        </w:rPr>
      </w:pPr>
    </w:p>
    <w:p w14:paraId="3FB0094D"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b/>
          <w:bCs/>
          <w:i/>
          <w:iCs/>
          <w:noProof/>
        </w:rPr>
        <w:t>Karte opasnosti od klizanja</w:t>
      </w:r>
      <w:r w:rsidRPr="00E732EF">
        <w:rPr>
          <w:rFonts w:ascii="Times New Roman" w:eastAsia="Calibri" w:hAnsi="Times New Roman" w:cs="Times New Roman"/>
          <w:noProof/>
        </w:rPr>
        <w:t xml:space="preserve"> (karte hazarda klizanja) nastaju kao rezultat prostornih analiza, a izrađuju ih stručnjaci iz inženjerske geologije i geomorfologije korištenjem različitih metoda, prilagođeno </w:t>
      </w:r>
      <w:r w:rsidRPr="00E732EF">
        <w:rPr>
          <w:rFonts w:ascii="Times New Roman" w:eastAsia="Calibri" w:hAnsi="Times New Roman" w:cs="Times New Roman"/>
          <w:noProof/>
        </w:rPr>
        <w:lastRenderedPageBreak/>
        <w:t xml:space="preserve">specifičnostima područja. Karte klizišta i prognozne karte sadrže informacije na temelju kojih se definiraju mjere za ublažavanje posljedica klizanja kroz sustav prostornog planiranja, odnosno odgovarajuće planiranje namjene zemljišta i definiranje uvjeta građenja. </w:t>
      </w:r>
    </w:p>
    <w:p w14:paraId="5F61B253" w14:textId="77777777" w:rsidR="00E732EF" w:rsidRPr="00E732EF" w:rsidRDefault="00E732EF" w:rsidP="00E732EF">
      <w:pPr>
        <w:spacing w:after="0" w:line="240" w:lineRule="auto"/>
        <w:jc w:val="both"/>
        <w:rPr>
          <w:rFonts w:ascii="Times New Roman" w:eastAsia="Calibri" w:hAnsi="Times New Roman" w:cs="Times New Roman"/>
          <w:noProof/>
        </w:rPr>
      </w:pPr>
      <w:r w:rsidRPr="00E732EF">
        <w:rPr>
          <w:rFonts w:ascii="Times New Roman" w:eastAsia="Calibri" w:hAnsi="Times New Roman" w:cs="Times New Roman"/>
          <w:noProof/>
        </w:rPr>
        <w:t xml:space="preserve">Na područjima u kojima postoje klizišta, ali ih nije moguće sanirati i predstavljaju opasnost za ljude i materijalna dobra, nužno je provoditi istraživanja i praćenja (engl. monitoring) radi prevencije potencijalnih šteta koje će prouzročiti daljnje kretanje klizišta. </w:t>
      </w:r>
    </w:p>
    <w:p w14:paraId="420314CF" w14:textId="77777777" w:rsidR="00E732EF" w:rsidRPr="00E732EF" w:rsidRDefault="00E732EF" w:rsidP="00E732EF">
      <w:pPr>
        <w:spacing w:after="0" w:line="240" w:lineRule="auto"/>
        <w:rPr>
          <w:rFonts w:ascii="Calibri" w:eastAsia="Calibri" w:hAnsi="Calibri" w:cs="Times New Roman"/>
        </w:rPr>
      </w:pPr>
    </w:p>
    <w:p w14:paraId="0B42304E" w14:textId="77777777" w:rsidR="00E732EF" w:rsidRPr="00E732EF" w:rsidRDefault="00E732EF" w:rsidP="00E732EF">
      <w:pPr>
        <w:rPr>
          <w:rFonts w:ascii="Times New Roman" w:eastAsia="Calibri" w:hAnsi="Times New Roman" w:cs="Times New Roman"/>
          <w:i/>
          <w:iCs/>
        </w:rPr>
      </w:pPr>
      <w:r w:rsidRPr="00E732EF">
        <w:rPr>
          <w:rFonts w:ascii="Times New Roman" w:eastAsia="Calibri" w:hAnsi="Times New Roman" w:cs="Times New Roman"/>
          <w:i/>
          <w:iCs/>
        </w:rPr>
        <w:t xml:space="preserve">Preventivne mjere radi umanjenja posljedica prirodne nepogode  </w:t>
      </w:r>
    </w:p>
    <w:p w14:paraId="0543D16B" w14:textId="77777777" w:rsidR="00E732EF" w:rsidRPr="00E732EF" w:rsidRDefault="00E732EF" w:rsidP="00E732EF">
      <w:pPr>
        <w:spacing w:after="0" w:line="240" w:lineRule="auto"/>
        <w:jc w:val="both"/>
        <w:rPr>
          <w:rFonts w:ascii="Times New Roman" w:eastAsia="Calibri" w:hAnsi="Times New Roman" w:cs="Times New Roman"/>
          <w:b/>
          <w:bCs/>
          <w:noProof/>
          <w:sz w:val="24"/>
          <w:szCs w:val="24"/>
        </w:rPr>
      </w:pPr>
      <w:r w:rsidRPr="00E732EF">
        <w:rPr>
          <w:rFonts w:ascii="Times New Roman" w:eastAsia="Calibri" w:hAnsi="Times New Roman" w:cs="Times New Roman"/>
          <w:b/>
          <w:bCs/>
          <w:i/>
          <w:iCs/>
          <w:noProof/>
        </w:rPr>
        <w:t>Mjere prevencije</w:t>
      </w:r>
      <w:r w:rsidRPr="00E732EF">
        <w:rPr>
          <w:rFonts w:ascii="Times New Roman" w:eastAsia="Calibri" w:hAnsi="Times New Roman" w:cs="Times New Roman"/>
          <w:noProof/>
        </w:rPr>
        <w:t xml:space="preserve"> provode se kroz sustav civilne zaštite, na način da se uvede sustav praćenja i ranog upozoravanja određenog klizišta. U tu svrhu nužno je detaljno istražiti klizište geotehničkim metodama istraživanja, izraditi prognostički model klizišta za simulacije njegova kretanja te na temelju analiza izraditi koncept sustava praćenja klizišta i ranog upozoravanja. Uobičajeni prikaz informacija ovog sustava je u vidu digitalnih zapisa, koje je nužno kontinuirano pratiti u realnom vremenu iz on-line centara podatka, a na temelju kojih će se aktivirati uzbunjivanje u slučaju prekoračenja zadanih kritičnih vrijednosti. Mjere za ublažavanje posljedica u ovom slučaju su interventne mjere upozoravanja i evakuacije ljudi. Procjena opasnosti od klizanja također je uobičajena i za osiguranje od šteta koje uzrokuju klizišta. U ovom slučaju informacije se prikazuju na kartama klizišta i prognostičkim kartama opasnosti od klizanja u vidu zona za koje je moguće dati informaciju o visini relativne opasnosti. Na temelju ove informacije definiraju se premije osiguranja za nadoknade u slučaju gubitaka, što je također jedan od načina ublažavanja posljedica klizanja.</w:t>
      </w:r>
    </w:p>
    <w:p w14:paraId="15C5A860" w14:textId="77777777" w:rsidR="00E732EF" w:rsidRPr="00E732EF" w:rsidRDefault="00E732EF" w:rsidP="00E732EF">
      <w:pPr>
        <w:spacing w:after="0" w:line="240" w:lineRule="auto"/>
        <w:rPr>
          <w:rFonts w:ascii="Calibri" w:eastAsia="Calibri" w:hAnsi="Calibri" w:cs="Times New Roman"/>
        </w:rPr>
      </w:pPr>
    </w:p>
    <w:p w14:paraId="5AD92EAF" w14:textId="77777777" w:rsidR="00E732EF" w:rsidRPr="00E732EF" w:rsidRDefault="00E732EF" w:rsidP="00E732EF">
      <w:pPr>
        <w:rPr>
          <w:rFonts w:ascii="Times New Roman" w:eastAsia="Calibri" w:hAnsi="Times New Roman" w:cs="Times New Roman"/>
          <w:i/>
          <w:iCs/>
        </w:rPr>
      </w:pPr>
      <w:r w:rsidRPr="00E732EF">
        <w:rPr>
          <w:rFonts w:ascii="Times New Roman" w:eastAsia="Calibri" w:hAnsi="Times New Roman" w:cs="Times New Roman"/>
          <w:i/>
          <w:iCs/>
        </w:rPr>
        <w:t xml:space="preserve">Mjere za ublažavanje i otklanjanje izravnih posljedica prirodne nepogode </w:t>
      </w:r>
    </w:p>
    <w:p w14:paraId="58E0D82C"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 xml:space="preserve">Mjere za ublažavanje i otklanjanje izravnih posljedica prirodne nepogode podrazumijevaju procjenu šteta i posljedica; sanaciju nastalih oštećenja i šteta. Sanacija obuhvaća aktivnosti kojima se otklanjaju posljedice prirodne nepogode, pružanje prve pomoći unesrećenima ukoliko ih je bilo te sve ostale radnje kojima se smanjuju posljedice klizanja tla. </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005"/>
        <w:gridCol w:w="8010"/>
      </w:tblGrid>
      <w:tr w:rsidR="00E732EF" w:rsidRPr="00E732EF" w14:paraId="3403B29E" w14:textId="77777777" w:rsidTr="00E732EF">
        <w:trPr>
          <w:trHeight w:val="25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44D1FFB4" w14:textId="77777777" w:rsidR="00E732EF" w:rsidRPr="00E732EF" w:rsidRDefault="00E732EF" w:rsidP="00E732EF">
            <w:pPr>
              <w:ind w:left="-23"/>
              <w:jc w:val="center"/>
              <w:rPr>
                <w:rFonts w:ascii="Times New Roman" w:eastAsia="Calibri" w:hAnsi="Times New Roman" w:cs="Times New Roman"/>
                <w:b/>
                <w:bCs/>
              </w:rPr>
            </w:pPr>
            <w:r w:rsidRPr="00E732EF">
              <w:rPr>
                <w:rFonts w:ascii="Times New Roman" w:eastAsia="Calibri" w:hAnsi="Times New Roman" w:cs="Times New Roman"/>
              </w:rPr>
              <w:t xml:space="preserve"> </w:t>
            </w:r>
            <w:r w:rsidRPr="00E732EF">
              <w:rPr>
                <w:rFonts w:ascii="Times New Roman" w:eastAsia="Calibri" w:hAnsi="Times New Roman" w:cs="Times New Roman"/>
                <w:b/>
                <w:bCs/>
              </w:rPr>
              <w:t>R/br.</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474B6F90" w14:textId="77777777" w:rsidR="00E732EF" w:rsidRPr="00E732EF" w:rsidRDefault="00E732EF" w:rsidP="00E732EF">
            <w:pPr>
              <w:ind w:left="-23"/>
              <w:jc w:val="center"/>
              <w:rPr>
                <w:rFonts w:ascii="Times New Roman" w:eastAsia="Calibri" w:hAnsi="Times New Roman" w:cs="Times New Roman"/>
                <w:b/>
                <w:bCs/>
              </w:rPr>
            </w:pPr>
            <w:r w:rsidRPr="00E732EF">
              <w:rPr>
                <w:rFonts w:ascii="Times New Roman" w:eastAsia="Calibri" w:hAnsi="Times New Roman" w:cs="Times New Roman"/>
                <w:b/>
                <w:bCs/>
              </w:rPr>
              <w:t>MJERE – radnje i postupci</w:t>
            </w:r>
          </w:p>
        </w:tc>
      </w:tr>
      <w:tr w:rsidR="00E732EF" w:rsidRPr="00E732EF" w14:paraId="5076B206" w14:textId="77777777" w:rsidTr="00E732EF">
        <w:trPr>
          <w:trHeight w:val="42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0CE81FEF"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1.</w:t>
            </w:r>
          </w:p>
        </w:tc>
        <w:tc>
          <w:tcPr>
            <w:tcW w:w="8010" w:type="dxa"/>
            <w:tcBorders>
              <w:top w:val="single" w:sz="4" w:space="0" w:color="BFBFBF"/>
              <w:left w:val="single" w:sz="4" w:space="0" w:color="BFBFBF"/>
              <w:bottom w:val="single" w:sz="4" w:space="0" w:color="BFBFBF"/>
              <w:right w:val="single" w:sz="4" w:space="0" w:color="BFBFBF"/>
            </w:tcBorders>
            <w:hideMark/>
          </w:tcPr>
          <w:p w14:paraId="401DC0B5"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Izvještavanje župana Međimurske županije i predlaganje aktiviranja Povjerenstva za procjenu štete od elementarnih nepogoda na ugroženim područjima.</w:t>
            </w:r>
          </w:p>
        </w:tc>
      </w:tr>
      <w:tr w:rsidR="00E732EF" w:rsidRPr="00E732EF" w14:paraId="74A9F716" w14:textId="77777777" w:rsidTr="00E732EF">
        <w:trPr>
          <w:trHeight w:val="37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74987AF3"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2.</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18B1B643"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Povjerenstvo nastavlja aktivnosti na popisu i procjeni štete sukladno Zakona o ublažavanju i uklanjanju posljedica prirodnih nepogoda (NN 16/19) i Pravilniku o registru šteta od prirodnih nepogoda (NN 65/19)</w:t>
            </w:r>
          </w:p>
        </w:tc>
      </w:tr>
      <w:tr w:rsidR="00E732EF" w:rsidRPr="00E732EF" w14:paraId="7B04983A" w14:textId="77777777" w:rsidTr="00E732EF">
        <w:trPr>
          <w:trHeight w:val="31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37790386"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3.</w:t>
            </w:r>
          </w:p>
        </w:tc>
        <w:tc>
          <w:tcPr>
            <w:tcW w:w="8010" w:type="dxa"/>
            <w:tcBorders>
              <w:top w:val="single" w:sz="4" w:space="0" w:color="BFBFBF"/>
              <w:left w:val="single" w:sz="4" w:space="0" w:color="BFBFBF"/>
              <w:bottom w:val="single" w:sz="4" w:space="0" w:color="BFBFBF"/>
              <w:right w:val="single" w:sz="4" w:space="0" w:color="BFBFBF"/>
            </w:tcBorders>
            <w:hideMark/>
          </w:tcPr>
          <w:p w14:paraId="38890153"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Aktiviranje Stožera CZ Općine Sveti Juraj na Bregu – sukladno procjeni opć. načelnika</w:t>
            </w:r>
          </w:p>
        </w:tc>
      </w:tr>
      <w:tr w:rsidR="00E732EF" w:rsidRPr="00E732EF" w14:paraId="615E168F" w14:textId="77777777" w:rsidTr="00E732EF">
        <w:trPr>
          <w:trHeight w:val="37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7A50E96B"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4.</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0D17B3EC"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Prikupljanje  informacija o stanju prometnica i ugroženim područjima naselja Općine.</w:t>
            </w:r>
          </w:p>
        </w:tc>
      </w:tr>
      <w:tr w:rsidR="00E732EF" w:rsidRPr="00E732EF" w14:paraId="73E10044" w14:textId="77777777" w:rsidTr="00E732EF">
        <w:trPr>
          <w:trHeight w:val="28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71946422"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5.</w:t>
            </w:r>
          </w:p>
        </w:tc>
        <w:tc>
          <w:tcPr>
            <w:tcW w:w="8010" w:type="dxa"/>
            <w:tcBorders>
              <w:top w:val="single" w:sz="4" w:space="0" w:color="BFBFBF"/>
              <w:left w:val="single" w:sz="4" w:space="0" w:color="BFBFBF"/>
              <w:bottom w:val="single" w:sz="4" w:space="0" w:color="BFBFBF"/>
              <w:right w:val="single" w:sz="4" w:space="0" w:color="BFBFBF"/>
            </w:tcBorders>
            <w:hideMark/>
          </w:tcPr>
          <w:p w14:paraId="64D253AD"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Prikupljanje informacija o funkcioniranju sustava: za elektroopskrbu, za telekomunikaciju, za vodoopskrbu, o stanju društvenih i stambenih objekata na prostoru.</w:t>
            </w:r>
          </w:p>
        </w:tc>
      </w:tr>
      <w:tr w:rsidR="00E732EF" w:rsidRPr="00E732EF" w14:paraId="2D46D211" w14:textId="77777777" w:rsidTr="00E732EF">
        <w:trPr>
          <w:trHeight w:val="36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19D42A8A"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6.</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7B70B118"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Aktiviranje  komunalnih službi a po potrebi i VZ Općine te potrebnih pravnih osoba Općine kao i Povjerenika CZ</w:t>
            </w:r>
          </w:p>
        </w:tc>
      </w:tr>
      <w:tr w:rsidR="00E732EF" w:rsidRPr="00E732EF" w14:paraId="2041E743" w14:textId="77777777" w:rsidTr="00E732EF">
        <w:trPr>
          <w:trHeight w:val="255"/>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10F5A2D5"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7.</w:t>
            </w:r>
          </w:p>
        </w:tc>
        <w:tc>
          <w:tcPr>
            <w:tcW w:w="8010" w:type="dxa"/>
            <w:tcBorders>
              <w:top w:val="single" w:sz="4" w:space="0" w:color="BFBFBF"/>
              <w:left w:val="single" w:sz="4" w:space="0" w:color="BFBFBF"/>
              <w:bottom w:val="single" w:sz="4" w:space="0" w:color="BFBFBF"/>
              <w:right w:val="single" w:sz="4" w:space="0" w:color="BFBFBF"/>
            </w:tcBorders>
            <w:hideMark/>
          </w:tcPr>
          <w:p w14:paraId="3A7471E3"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Utvrđivanje redoslijeda u smislu stavljanja u potpunu funkciju ugroženih objekata</w:t>
            </w:r>
          </w:p>
        </w:tc>
      </w:tr>
      <w:tr w:rsidR="00E732EF" w:rsidRPr="00E732EF" w14:paraId="5E7CD92C" w14:textId="77777777" w:rsidTr="00E732EF">
        <w:trPr>
          <w:trHeight w:val="18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1B51A7FE"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8.</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26A68D06"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Utvrđivanje redoslijeda u smislu stavljanja u potpunu funkciju opskrbu električnom energijom i telekomunikacijama po prioritetima</w:t>
            </w:r>
          </w:p>
        </w:tc>
      </w:tr>
      <w:tr w:rsidR="00E732EF" w:rsidRPr="00E732EF" w14:paraId="5297DA85" w14:textId="77777777" w:rsidTr="00E732EF">
        <w:trPr>
          <w:trHeight w:val="30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76A45D73"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9.</w:t>
            </w:r>
          </w:p>
        </w:tc>
        <w:tc>
          <w:tcPr>
            <w:tcW w:w="8010" w:type="dxa"/>
            <w:tcBorders>
              <w:top w:val="single" w:sz="4" w:space="0" w:color="BFBFBF"/>
              <w:left w:val="single" w:sz="4" w:space="0" w:color="BFBFBF"/>
              <w:bottom w:val="single" w:sz="4" w:space="0" w:color="BFBFBF"/>
              <w:right w:val="single" w:sz="4" w:space="0" w:color="BFBFBF"/>
            </w:tcBorders>
            <w:hideMark/>
          </w:tcPr>
          <w:p w14:paraId="1AA1F745"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U koordinaciji sa Stožerom CZ izvršiti pozivanje pravnih osoba iz Odluke o pravnim osobama od interesa za sustav CZ koje posjeduju mehanizaciju kako bi pomogli u što bržem čišćenju prometnica ovlaštenom koncesionaru i doveli do normalnog funkcioniranja zajednice</w:t>
            </w:r>
          </w:p>
        </w:tc>
      </w:tr>
      <w:tr w:rsidR="00E732EF" w:rsidRPr="00E732EF" w14:paraId="76816816" w14:textId="77777777" w:rsidTr="00E732EF">
        <w:trPr>
          <w:trHeight w:val="450"/>
        </w:trPr>
        <w:tc>
          <w:tcPr>
            <w:tcW w:w="1005" w:type="dxa"/>
            <w:tcBorders>
              <w:top w:val="single" w:sz="4" w:space="0" w:color="BFBFBF"/>
              <w:left w:val="single" w:sz="4" w:space="0" w:color="BFBFBF"/>
              <w:bottom w:val="single" w:sz="4" w:space="0" w:color="BFBFBF"/>
              <w:right w:val="single" w:sz="4" w:space="0" w:color="BFBFBF"/>
            </w:tcBorders>
            <w:shd w:val="clear" w:color="auto" w:fill="F2F2F2"/>
            <w:hideMark/>
          </w:tcPr>
          <w:p w14:paraId="26A712F5"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10.</w:t>
            </w:r>
          </w:p>
        </w:tc>
        <w:tc>
          <w:tcPr>
            <w:tcW w:w="8010" w:type="dxa"/>
            <w:tcBorders>
              <w:top w:val="single" w:sz="4" w:space="0" w:color="BFBFBF"/>
              <w:left w:val="single" w:sz="4" w:space="0" w:color="BFBFBF"/>
              <w:bottom w:val="single" w:sz="4" w:space="0" w:color="BFBFBF"/>
              <w:right w:val="single" w:sz="4" w:space="0" w:color="BFBFBF"/>
            </w:tcBorders>
            <w:shd w:val="clear" w:color="auto" w:fill="F2F2F2"/>
            <w:hideMark/>
          </w:tcPr>
          <w:p w14:paraId="728F1765"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Povjerenstvo Općine nastavlja aktivnosti na popisu i procjeni štete sukladno Zakonu te o rezultatima izvješćuje Međimursku županiju. </w:t>
            </w:r>
          </w:p>
        </w:tc>
      </w:tr>
    </w:tbl>
    <w:p w14:paraId="5D83117F" w14:textId="77777777" w:rsidR="00E732EF" w:rsidRPr="00E732EF" w:rsidRDefault="00E732EF" w:rsidP="00E732EF">
      <w:pPr>
        <w:rPr>
          <w:rFonts w:ascii="Times New Roman" w:eastAsia="Calibri" w:hAnsi="Times New Roman" w:cs="Times New Roman"/>
        </w:rPr>
      </w:pPr>
    </w:p>
    <w:p w14:paraId="08431892" w14:textId="77777777" w:rsidR="00E732EF" w:rsidRPr="00E732EF" w:rsidRDefault="00E732EF" w:rsidP="00E732EF">
      <w:pPr>
        <w:rPr>
          <w:rFonts w:ascii="Times New Roman" w:eastAsia="Calibri" w:hAnsi="Times New Roman" w:cs="Times New Roman"/>
        </w:rPr>
      </w:pPr>
      <w:r w:rsidRPr="00E732EF">
        <w:rPr>
          <w:rFonts w:ascii="Times New Roman" w:eastAsia="Calibri" w:hAnsi="Times New Roman" w:cs="Times New Roman"/>
        </w:rPr>
        <w:lastRenderedPageBreak/>
        <w:t xml:space="preserve">2.2. NOSITELJI MJERA PO PRIRODNIM NEPOGODAMA </w:t>
      </w:r>
    </w:p>
    <w:p w14:paraId="11124DF1"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 xml:space="preserve">Pod mjerama se smatraju sva djelovanja od strane JLS (Općina Sveti Juraj na Bregu) vezana uz sanaciju nastalih šteta, ovisno o naravi, odnosno vrsti prirodne nepogode koja je izgledna za određeno područje, odnosno o posljedicama istih. Mjere mogu biti preventivne, u cilju umanjenja posljedica prirodne nepogode, te mjere u cilju ublažavanja i otklanjanja izravnih posljedica prirodne nepogode.  </w:t>
      </w:r>
    </w:p>
    <w:p w14:paraId="0644D32C" w14:textId="77777777" w:rsidR="00E732EF" w:rsidRPr="00E732EF" w:rsidRDefault="00E732EF" w:rsidP="00E732EF">
      <w:pPr>
        <w:jc w:val="both"/>
        <w:rPr>
          <w:rFonts w:ascii="Times New Roman" w:eastAsia="Calibri" w:hAnsi="Times New Roman" w:cs="Times New Roman"/>
          <w:i/>
          <w:iCs/>
        </w:rPr>
      </w:pPr>
      <w:r w:rsidRPr="00E732EF">
        <w:rPr>
          <w:rFonts w:ascii="Times New Roman" w:eastAsia="Calibri" w:hAnsi="Times New Roman" w:cs="Times New Roman"/>
          <w:i/>
          <w:iCs/>
        </w:rPr>
        <w:t xml:space="preserve">Opće mjere za ublažavanje i uklanjanje izravnih posljedica prirodnih nepogoda jesu: </w:t>
      </w:r>
    </w:p>
    <w:p w14:paraId="1965F071" w14:textId="77777777" w:rsidR="00E732EF" w:rsidRPr="00E732EF" w:rsidRDefault="00E732EF" w:rsidP="00E732EF">
      <w:pPr>
        <w:numPr>
          <w:ilvl w:val="1"/>
          <w:numId w:val="15"/>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procjena štete i posljedica, </w:t>
      </w:r>
    </w:p>
    <w:p w14:paraId="76C5CE07" w14:textId="77777777" w:rsidR="00E732EF" w:rsidRPr="00E732EF" w:rsidRDefault="00E732EF" w:rsidP="00E732EF">
      <w:pPr>
        <w:numPr>
          <w:ilvl w:val="1"/>
          <w:numId w:val="15"/>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sanacija područja zahvaćenog nepogodom, </w:t>
      </w:r>
    </w:p>
    <w:p w14:paraId="1D7DDE7A" w14:textId="77777777" w:rsidR="00E732EF" w:rsidRPr="00E732EF" w:rsidRDefault="00E732EF" w:rsidP="00E732EF">
      <w:pPr>
        <w:numPr>
          <w:ilvl w:val="1"/>
          <w:numId w:val="15"/>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prikupljanje i raspodjela pomoći stradalom i ugroženom stanovništvu, </w:t>
      </w:r>
    </w:p>
    <w:p w14:paraId="00CCB296" w14:textId="77777777" w:rsidR="00E732EF" w:rsidRPr="00E732EF" w:rsidRDefault="00E732EF" w:rsidP="00E732EF">
      <w:pPr>
        <w:numPr>
          <w:ilvl w:val="1"/>
          <w:numId w:val="15"/>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provedba zdravstvenih i higijensko – epidemioloških mjera, </w:t>
      </w:r>
    </w:p>
    <w:p w14:paraId="47EBC3D0" w14:textId="77777777" w:rsidR="00E732EF" w:rsidRPr="00E732EF" w:rsidRDefault="00E732EF" w:rsidP="00E732EF">
      <w:pPr>
        <w:numPr>
          <w:ilvl w:val="1"/>
          <w:numId w:val="15"/>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provedba veterinarskih mjera, </w:t>
      </w:r>
    </w:p>
    <w:p w14:paraId="3AC3D98E" w14:textId="77777777" w:rsidR="00E732EF" w:rsidRPr="00E732EF" w:rsidRDefault="00E732EF" w:rsidP="00E732EF">
      <w:pPr>
        <w:numPr>
          <w:ilvl w:val="1"/>
          <w:numId w:val="15"/>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organizacija prometa i komunalnih usluga radi žurne normalizacije života. </w:t>
      </w:r>
    </w:p>
    <w:p w14:paraId="067DFD79" w14:textId="77777777" w:rsidR="00E732EF" w:rsidRPr="00E732EF" w:rsidRDefault="00E732EF" w:rsidP="00E732EF">
      <w:pPr>
        <w:spacing w:after="0" w:line="240" w:lineRule="auto"/>
        <w:rPr>
          <w:rFonts w:ascii="Calibri" w:eastAsia="Calibri" w:hAnsi="Calibri" w:cs="Times New Roman"/>
          <w:lang w:val="en-US"/>
        </w:rPr>
      </w:pPr>
    </w:p>
    <w:p w14:paraId="2A71B91D"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 xml:space="preserve">U slučaju prirodne nepogode nositelji mjera su operativne snage sustava civilne zaštite, sustav zdravstvenih kapaciteta te MUP koji su detaljno obrađeni u prilozima unutar Plana djelovanja civilne zaštite Općine Sveti Juraj na Bregu. </w:t>
      </w:r>
    </w:p>
    <w:p w14:paraId="67D7632D"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Prilikom provedbi mjera radi djelomičnog ublažavanja šteta od prirodnih nepogoda o kojima odlučuju nadležna tijela, navedena u članku 5. Zakona, obvezno se u obzir uzima opseg nastalih šteta i utjecaj prirodnih nepogoda na stradanja stanovništva, ugrozu života i zdravlja ljudi te onemogućavanje nesmetanog funkcioniranja gospodarstva. U cilju pravovremenog i učinkovitog ublažavanja i uklanjanja izravnih posljedica i procjena štete od ekstremnih prirodnih uvjeta u pravilu se obavlja odmah ili u najkraćem roku.</w:t>
      </w:r>
    </w:p>
    <w:p w14:paraId="4D04A6CA"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Nositelji mjera za ublažavanje te otklanjanje izravnih posljedica prirodnih nepogoda su operativne snage sustava civilne zaštite Općine koje su definirane Zakonom o sustavu civilne zaštite („Narodne novine“ broj 82/15.) i Planom djelovanja CZ Općine Sveti Juraj na Bregu:</w:t>
      </w:r>
    </w:p>
    <w:p w14:paraId="467F6D5F" w14:textId="77777777" w:rsidR="00E732EF" w:rsidRPr="00E732EF" w:rsidRDefault="00E732EF" w:rsidP="00E732EF">
      <w:pPr>
        <w:numPr>
          <w:ilvl w:val="0"/>
          <w:numId w:val="8"/>
        </w:numPr>
        <w:spacing w:after="0" w:line="240" w:lineRule="auto"/>
        <w:rPr>
          <w:rFonts w:ascii="Times New Roman" w:eastAsia="Calibri" w:hAnsi="Times New Roman" w:cs="Times New Roman"/>
        </w:rPr>
      </w:pPr>
      <w:r w:rsidRPr="00E732EF">
        <w:rPr>
          <w:rFonts w:ascii="Times New Roman" w:eastAsia="Calibri" w:hAnsi="Times New Roman" w:cs="Times New Roman"/>
        </w:rPr>
        <w:t xml:space="preserve">Stožer civilne zaštite Općine Sveti Juraj na Bregu </w:t>
      </w:r>
      <w:r w:rsidRPr="00E732EF">
        <w:rPr>
          <w:rFonts w:ascii="Times New Roman" w:eastAsia="Calibri" w:hAnsi="Times New Roman" w:cs="Times New Roman"/>
          <w:b/>
          <w:bCs/>
        </w:rPr>
        <w:t>+ Općinsko povjerenstvo</w:t>
      </w:r>
    </w:p>
    <w:p w14:paraId="2193B51F" w14:textId="77777777" w:rsidR="00E732EF" w:rsidRPr="00E732EF" w:rsidRDefault="00E732EF" w:rsidP="00E732EF">
      <w:pPr>
        <w:numPr>
          <w:ilvl w:val="0"/>
          <w:numId w:val="8"/>
        </w:numPr>
        <w:spacing w:after="0" w:line="240" w:lineRule="auto"/>
        <w:rPr>
          <w:rFonts w:ascii="Times New Roman" w:eastAsia="Calibri" w:hAnsi="Times New Roman" w:cs="Times New Roman"/>
        </w:rPr>
      </w:pPr>
      <w:r w:rsidRPr="00E732EF">
        <w:rPr>
          <w:rFonts w:ascii="Times New Roman" w:eastAsia="Calibri" w:hAnsi="Times New Roman" w:cs="Times New Roman"/>
        </w:rPr>
        <w:t>VZ Općine (sa 5 DVD-a)</w:t>
      </w:r>
    </w:p>
    <w:p w14:paraId="3A983769" w14:textId="77777777" w:rsidR="00E732EF" w:rsidRPr="00E732EF" w:rsidRDefault="00E732EF" w:rsidP="00E732EF">
      <w:pPr>
        <w:numPr>
          <w:ilvl w:val="0"/>
          <w:numId w:val="8"/>
        </w:numPr>
        <w:spacing w:after="0" w:line="240" w:lineRule="auto"/>
        <w:rPr>
          <w:rFonts w:ascii="Times New Roman" w:eastAsia="Calibri" w:hAnsi="Times New Roman" w:cs="Times New Roman"/>
        </w:rPr>
      </w:pPr>
      <w:r w:rsidRPr="00E732EF">
        <w:rPr>
          <w:rFonts w:ascii="Times New Roman" w:eastAsia="Calibri" w:hAnsi="Times New Roman" w:cs="Times New Roman"/>
        </w:rPr>
        <w:t xml:space="preserve">Gradsko društvo Crvenog križa  Čakovec </w:t>
      </w:r>
    </w:p>
    <w:p w14:paraId="7C92861E" w14:textId="77777777" w:rsidR="00E732EF" w:rsidRPr="00E732EF" w:rsidRDefault="00E732EF" w:rsidP="00E732EF">
      <w:pPr>
        <w:numPr>
          <w:ilvl w:val="0"/>
          <w:numId w:val="8"/>
        </w:numPr>
        <w:spacing w:after="0" w:line="240" w:lineRule="auto"/>
        <w:rPr>
          <w:rFonts w:ascii="Times New Roman" w:eastAsia="Calibri" w:hAnsi="Times New Roman" w:cs="Times New Roman"/>
        </w:rPr>
      </w:pPr>
      <w:r w:rsidRPr="00E732EF">
        <w:rPr>
          <w:rFonts w:ascii="Times New Roman" w:eastAsia="Calibri" w:hAnsi="Times New Roman" w:cs="Times New Roman"/>
        </w:rPr>
        <w:t xml:space="preserve">HGSS- Stanica Čakovec  </w:t>
      </w:r>
    </w:p>
    <w:p w14:paraId="1C3017F9" w14:textId="77777777" w:rsidR="00E732EF" w:rsidRPr="00E732EF" w:rsidRDefault="00E732EF" w:rsidP="00E732EF">
      <w:pPr>
        <w:numPr>
          <w:ilvl w:val="0"/>
          <w:numId w:val="8"/>
        </w:numPr>
        <w:spacing w:after="0" w:line="240" w:lineRule="auto"/>
        <w:rPr>
          <w:rFonts w:ascii="Times New Roman" w:eastAsia="Calibri" w:hAnsi="Times New Roman" w:cs="Times New Roman"/>
        </w:rPr>
      </w:pPr>
      <w:r w:rsidRPr="00E732EF">
        <w:rPr>
          <w:rFonts w:ascii="Times New Roman" w:eastAsia="Calibri" w:hAnsi="Times New Roman" w:cs="Times New Roman"/>
        </w:rPr>
        <w:t xml:space="preserve">Komunalna poduzeća  kontaktnog područja </w:t>
      </w:r>
    </w:p>
    <w:p w14:paraId="7C1474A9" w14:textId="77777777" w:rsidR="00E732EF" w:rsidRPr="00E732EF" w:rsidRDefault="00E732EF" w:rsidP="00E732EF">
      <w:pPr>
        <w:numPr>
          <w:ilvl w:val="0"/>
          <w:numId w:val="8"/>
        </w:numPr>
        <w:spacing w:after="0" w:line="240" w:lineRule="auto"/>
        <w:rPr>
          <w:rFonts w:ascii="Times New Roman" w:eastAsia="Calibri" w:hAnsi="Times New Roman" w:cs="Times New Roman"/>
        </w:rPr>
      </w:pPr>
      <w:r w:rsidRPr="00E732EF">
        <w:rPr>
          <w:rFonts w:ascii="Times New Roman" w:eastAsia="Calibri" w:hAnsi="Times New Roman" w:cs="Times New Roman"/>
        </w:rPr>
        <w:t xml:space="preserve">Povjerenici civilne zaštite i njihovi zamjenici </w:t>
      </w:r>
    </w:p>
    <w:p w14:paraId="37CC62FE" w14:textId="77777777" w:rsidR="00E732EF" w:rsidRPr="00E732EF" w:rsidRDefault="00E732EF" w:rsidP="00E732EF">
      <w:pPr>
        <w:numPr>
          <w:ilvl w:val="0"/>
          <w:numId w:val="8"/>
        </w:numPr>
        <w:spacing w:after="0" w:line="240" w:lineRule="auto"/>
        <w:rPr>
          <w:rFonts w:ascii="Times New Roman" w:eastAsia="Calibri" w:hAnsi="Times New Roman" w:cs="Times New Roman"/>
        </w:rPr>
      </w:pPr>
      <w:r w:rsidRPr="00E732EF">
        <w:rPr>
          <w:rFonts w:ascii="Times New Roman" w:eastAsia="Calibri" w:hAnsi="Times New Roman" w:cs="Times New Roman"/>
        </w:rPr>
        <w:t>Koordinatori na lokaciji</w:t>
      </w:r>
    </w:p>
    <w:p w14:paraId="36FE7DD2" w14:textId="77777777" w:rsidR="00E732EF" w:rsidRPr="00E732EF" w:rsidRDefault="00E732EF" w:rsidP="00E732EF">
      <w:pPr>
        <w:numPr>
          <w:ilvl w:val="0"/>
          <w:numId w:val="8"/>
        </w:numPr>
        <w:spacing w:after="0" w:line="240" w:lineRule="auto"/>
        <w:rPr>
          <w:rFonts w:ascii="Times New Roman" w:eastAsia="Calibri" w:hAnsi="Times New Roman" w:cs="Times New Roman"/>
        </w:rPr>
      </w:pPr>
      <w:r w:rsidRPr="00E732EF">
        <w:rPr>
          <w:rFonts w:ascii="Times New Roman" w:eastAsia="Calibri" w:hAnsi="Times New Roman" w:cs="Times New Roman"/>
        </w:rPr>
        <w:t xml:space="preserve">Pravne osobe i udruge od interesa za sustav civilne zaštite Općine Sveti Juraj na Bregu određene Odlukom Općine. </w:t>
      </w:r>
    </w:p>
    <w:p w14:paraId="5C2DA912" w14:textId="77777777" w:rsidR="00E732EF" w:rsidRPr="00E732EF" w:rsidRDefault="00E732EF" w:rsidP="00E732EF">
      <w:pPr>
        <w:spacing w:after="0" w:line="240" w:lineRule="auto"/>
        <w:ind w:firstLine="45"/>
        <w:rPr>
          <w:rFonts w:ascii="Calibri" w:eastAsia="Calibri" w:hAnsi="Calibri" w:cs="Arial"/>
        </w:rPr>
      </w:pPr>
    </w:p>
    <w:p w14:paraId="5EBBF1D3" w14:textId="77777777" w:rsidR="00E732EF" w:rsidRPr="00E732EF" w:rsidRDefault="00E732EF" w:rsidP="00E732EF">
      <w:pPr>
        <w:spacing w:after="0" w:line="240" w:lineRule="auto"/>
        <w:rPr>
          <w:rFonts w:ascii="Times New Roman" w:eastAsia="Calibri" w:hAnsi="Times New Roman" w:cs="Times New Roman"/>
        </w:rPr>
      </w:pPr>
      <w:r w:rsidRPr="00E732EF">
        <w:rPr>
          <w:rFonts w:ascii="Times New Roman" w:eastAsia="Calibri" w:hAnsi="Times New Roman" w:cs="Times New Roman"/>
        </w:rPr>
        <w:t xml:space="preserve">Pored Operativnih snaga sustava CZ kao nositelji određenih mjera u ugrozama pojavit će se i: </w:t>
      </w:r>
    </w:p>
    <w:p w14:paraId="6B392722" w14:textId="77777777" w:rsidR="00E732EF" w:rsidRPr="00E732EF" w:rsidRDefault="00E732EF" w:rsidP="00E732EF">
      <w:pPr>
        <w:numPr>
          <w:ilvl w:val="0"/>
          <w:numId w:val="10"/>
        </w:numPr>
        <w:spacing w:after="0" w:line="240" w:lineRule="auto"/>
        <w:rPr>
          <w:rFonts w:ascii="Times New Roman" w:eastAsia="Calibri" w:hAnsi="Times New Roman" w:cs="Times New Roman"/>
        </w:rPr>
      </w:pPr>
      <w:r w:rsidRPr="00E732EF">
        <w:rPr>
          <w:rFonts w:ascii="Times New Roman" w:eastAsia="Calibri" w:hAnsi="Times New Roman" w:cs="Times New Roman"/>
        </w:rPr>
        <w:t>Centar za socijalnu skrb Čakovec</w:t>
      </w:r>
    </w:p>
    <w:p w14:paraId="0A9F2A62" w14:textId="77777777" w:rsidR="00E732EF" w:rsidRPr="00E732EF" w:rsidRDefault="00E732EF" w:rsidP="00E732EF">
      <w:pPr>
        <w:numPr>
          <w:ilvl w:val="0"/>
          <w:numId w:val="10"/>
        </w:numPr>
        <w:spacing w:after="0" w:line="240" w:lineRule="auto"/>
        <w:rPr>
          <w:rFonts w:ascii="Times New Roman" w:eastAsia="Calibri" w:hAnsi="Times New Roman" w:cs="Times New Roman"/>
        </w:rPr>
      </w:pPr>
      <w:r w:rsidRPr="00E732EF">
        <w:rPr>
          <w:rFonts w:ascii="Times New Roman" w:eastAsia="Calibri" w:hAnsi="Times New Roman" w:cs="Times New Roman"/>
        </w:rPr>
        <w:t>Zavod za hitnu medicinu  MŽ, te ambulante u Općini i Domu zdravlja Čakovec</w:t>
      </w:r>
    </w:p>
    <w:p w14:paraId="17299BCA" w14:textId="77777777" w:rsidR="00E732EF" w:rsidRPr="00E732EF" w:rsidRDefault="00E732EF" w:rsidP="00E732EF">
      <w:pPr>
        <w:numPr>
          <w:ilvl w:val="0"/>
          <w:numId w:val="10"/>
        </w:numPr>
        <w:spacing w:after="0" w:line="240" w:lineRule="auto"/>
        <w:rPr>
          <w:rFonts w:ascii="Times New Roman" w:eastAsia="Calibri" w:hAnsi="Times New Roman" w:cs="Times New Roman"/>
        </w:rPr>
      </w:pPr>
      <w:r w:rsidRPr="00E732EF">
        <w:rPr>
          <w:rFonts w:ascii="Times New Roman" w:eastAsia="Calibri" w:hAnsi="Times New Roman" w:cs="Times New Roman"/>
        </w:rPr>
        <w:t>Hrvatske vode –VGI Trnava</w:t>
      </w:r>
    </w:p>
    <w:p w14:paraId="324A51FA" w14:textId="77777777" w:rsidR="00E732EF" w:rsidRPr="00E732EF" w:rsidRDefault="00E732EF" w:rsidP="00E732EF">
      <w:pPr>
        <w:numPr>
          <w:ilvl w:val="0"/>
          <w:numId w:val="10"/>
        </w:numPr>
        <w:spacing w:after="0" w:line="240" w:lineRule="auto"/>
        <w:rPr>
          <w:rFonts w:ascii="Times New Roman" w:eastAsia="Calibri" w:hAnsi="Times New Roman" w:cs="Times New Roman"/>
        </w:rPr>
      </w:pPr>
      <w:r w:rsidRPr="00E732EF">
        <w:rPr>
          <w:rFonts w:ascii="Times New Roman" w:eastAsia="Calibri" w:hAnsi="Times New Roman" w:cs="Times New Roman"/>
        </w:rPr>
        <w:t>HEP-interventne službe HEP ODS d.o.o. Elektra Čakovec</w:t>
      </w:r>
    </w:p>
    <w:p w14:paraId="6837A322" w14:textId="77777777" w:rsidR="00E732EF" w:rsidRPr="00E732EF" w:rsidRDefault="00E732EF" w:rsidP="00E732EF">
      <w:pPr>
        <w:numPr>
          <w:ilvl w:val="0"/>
          <w:numId w:val="10"/>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HŠ UŠP; ŽUC MŽ,  Zavod za javno zdravstvo MŽ i drugi. </w:t>
      </w:r>
    </w:p>
    <w:p w14:paraId="397A3BD9" w14:textId="77777777" w:rsidR="00E732EF" w:rsidRPr="00E732EF" w:rsidRDefault="00E732EF" w:rsidP="00E732EF">
      <w:pPr>
        <w:spacing w:after="0" w:line="240" w:lineRule="auto"/>
        <w:rPr>
          <w:rFonts w:ascii="Calibri" w:eastAsia="Calibri" w:hAnsi="Calibri" w:cs="Times New Roman"/>
        </w:rPr>
      </w:pPr>
    </w:p>
    <w:p w14:paraId="2156CE46"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 xml:space="preserve">Sve navedene snage koristit će se u provođenju mjera kod svih elementarnih nepogoda ovisno o potrebama za istima. </w:t>
      </w:r>
    </w:p>
    <w:p w14:paraId="1A341020" w14:textId="77777777" w:rsidR="00E732EF" w:rsidRPr="00E732EF" w:rsidRDefault="00E732EF" w:rsidP="00E732EF">
      <w:pPr>
        <w:jc w:val="both"/>
        <w:rPr>
          <w:rFonts w:ascii="Times New Roman" w:eastAsia="Calibri" w:hAnsi="Times New Roman" w:cs="Times New Roman"/>
          <w:b/>
          <w:bCs/>
        </w:rPr>
      </w:pPr>
      <w:r w:rsidRPr="00E732EF">
        <w:rPr>
          <w:rFonts w:ascii="Times New Roman" w:eastAsia="Calibri" w:hAnsi="Times New Roman" w:cs="Times New Roman"/>
          <w:b/>
          <w:bCs/>
        </w:rPr>
        <w:lastRenderedPageBreak/>
        <w:t xml:space="preserve">  3. PROCJENA OSIGURANJA OPREME I DRUGIH SREDSTAVA ZA ZAŠTITU I SPRJEČAVANJE STRADANJA IMOVINE, GOSPODARSKIH FUNKCIJA I STRADANJA STANOVNIŠTVA </w:t>
      </w:r>
    </w:p>
    <w:p w14:paraId="5A5B540B" w14:textId="4BA43E23"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Općina Sveti Juraj na Bregu svake godine izdvaja iz svog proračuna financijska sredstva za financiranje razvoja sustava civilne zaštite, žurne službe i operativne snage, HGSS-a, Gradskog društva Crvenog križa te na službe i pravne osobe od značaja za sustav civilne zaštite. Sukladno Zakon</w:t>
      </w:r>
      <w:r w:rsidR="00394D03">
        <w:rPr>
          <w:rFonts w:ascii="Times New Roman" w:eastAsia="Calibri" w:hAnsi="Times New Roman" w:cs="Times New Roman"/>
        </w:rPr>
        <w:t>u</w:t>
      </w:r>
      <w:r w:rsidRPr="00E732EF">
        <w:rPr>
          <w:rFonts w:ascii="Times New Roman" w:eastAsia="Calibri" w:hAnsi="Times New Roman" w:cs="Times New Roman"/>
        </w:rPr>
        <w:t xml:space="preserve"> o proračunu („Narodne novine“, br. </w:t>
      </w:r>
      <w:r w:rsidR="00394D03">
        <w:rPr>
          <w:rFonts w:ascii="Times New Roman" w:eastAsia="Calibri" w:hAnsi="Times New Roman" w:cs="Times New Roman"/>
        </w:rPr>
        <w:t>144/21</w:t>
      </w:r>
      <w:r w:rsidRPr="00E732EF">
        <w:rPr>
          <w:rFonts w:ascii="Times New Roman" w:eastAsia="Calibri" w:hAnsi="Times New Roman" w:cs="Times New Roman"/>
        </w:rPr>
        <w:t xml:space="preserve">) sredstva proračunske zalihe mogu se koristiti za nepredviđene namjene za koje u proračunu nisu osigurana sredstva ili za namjene za koje se tijekom godine pokaže da nisu utvrđena dovoljna sredstva jer ih pri planiranju proračuna nije bilo moguće predvidjeti, za financiranje rashoda nastalih pri otklanjanju prirodnih nepogoda, epidemija, ekoloških nesreća ili izvanrednih događaja i ostalih nepredvidivih nesreća te za druge nepredviđene rashode tijekom godine.  </w:t>
      </w:r>
    </w:p>
    <w:p w14:paraId="7CB42194" w14:textId="50410C6B" w:rsidR="00E732EF" w:rsidRPr="00E732EF" w:rsidRDefault="00E732EF" w:rsidP="00E732EF">
      <w:pPr>
        <w:jc w:val="both"/>
        <w:rPr>
          <w:rFonts w:ascii="Times New Roman" w:eastAsia="Calibri" w:hAnsi="Times New Roman" w:cs="Times New Roman"/>
        </w:rPr>
      </w:pPr>
      <w:r w:rsidRPr="00E67D47">
        <w:rPr>
          <w:rFonts w:ascii="Times New Roman" w:eastAsia="Calibri" w:hAnsi="Times New Roman" w:cs="Times New Roman"/>
        </w:rPr>
        <w:t>Općina Sveti Juraj na Bregu izradila je Procjenu rizika od velikih nesreća (2017. i Revizija 2020.</w:t>
      </w:r>
      <w:r w:rsidR="00C428B6" w:rsidRPr="00E67D47">
        <w:rPr>
          <w:rFonts w:ascii="Times New Roman" w:eastAsia="Calibri" w:hAnsi="Times New Roman" w:cs="Times New Roman"/>
        </w:rPr>
        <w:t xml:space="preserve"> </w:t>
      </w:r>
      <w:r w:rsidRPr="00E67D47">
        <w:rPr>
          <w:rFonts w:ascii="Times New Roman" w:eastAsia="Calibri" w:hAnsi="Times New Roman" w:cs="Times New Roman"/>
        </w:rPr>
        <w:t>godine</w:t>
      </w:r>
      <w:r w:rsidR="00395D35" w:rsidRPr="00E67D47">
        <w:rPr>
          <w:rFonts w:ascii="Times New Roman" w:eastAsia="Calibri" w:hAnsi="Times New Roman" w:cs="Times New Roman"/>
        </w:rPr>
        <w:t xml:space="preserve">, i ažuriranja </w:t>
      </w:r>
      <w:r w:rsidR="00190F89" w:rsidRPr="00E67D47">
        <w:rPr>
          <w:rFonts w:ascii="Times New Roman" w:eastAsia="Calibri" w:hAnsi="Times New Roman" w:cs="Times New Roman"/>
        </w:rPr>
        <w:t>od 21. listopada 2021. godine i 17. svibnja 2022. godine te Revizija II 2023</w:t>
      </w:r>
      <w:r w:rsidR="00C428B6" w:rsidRPr="00E67D47">
        <w:t xml:space="preserve"> </w:t>
      </w:r>
      <w:r w:rsidR="00C428B6" w:rsidRPr="00E67D47">
        <w:rPr>
          <w:rFonts w:ascii="Times New Roman" w:eastAsia="Calibri" w:hAnsi="Times New Roman" w:cs="Times New Roman"/>
        </w:rPr>
        <w:t xml:space="preserve">od 06. lipnja 2023. </w:t>
      </w:r>
      <w:r w:rsidR="00190F89" w:rsidRPr="00E67D47">
        <w:rPr>
          <w:rFonts w:ascii="Times New Roman" w:eastAsia="Calibri" w:hAnsi="Times New Roman" w:cs="Times New Roman"/>
        </w:rPr>
        <w:t>godine</w:t>
      </w:r>
      <w:r w:rsidRPr="00E67D47">
        <w:rPr>
          <w:rFonts w:ascii="Times New Roman" w:eastAsia="Calibri" w:hAnsi="Times New Roman" w:cs="Times New Roman"/>
        </w:rPr>
        <w:t xml:space="preserve">) </w:t>
      </w:r>
      <w:r w:rsidRPr="00395D35">
        <w:rPr>
          <w:rFonts w:ascii="Times New Roman" w:eastAsia="Calibri" w:hAnsi="Times New Roman" w:cs="Times New Roman"/>
        </w:rPr>
        <w:t xml:space="preserve">u kojoj </w:t>
      </w:r>
      <w:r w:rsidRPr="00E732EF">
        <w:rPr>
          <w:rFonts w:ascii="Times New Roman" w:eastAsia="Calibri" w:hAnsi="Times New Roman" w:cs="Times New Roman"/>
        </w:rPr>
        <w:t xml:space="preserve">je provedena analiza sustava civilne zaštite Općine. Procjena ukupne spremnosti sustava civilne zaštite Općine Sveti Juraj na Bregu u području provođenje preventivnih mjera i aktivnosti usmjerenih na zaštitu svih kategorija društvenih vrijednosti koje su potencijalno izložene štetnim utjecajima velikih nesreća je visoka. Ujedno, spremnost odgovornih i upravljačkih kapaciteta procjenjuje se visokom. Spremnost sustava civilne zaštite na temelju izrađenosti sektorskih strategija, normativne uređenosti te izrađenosti procjena i planova od značaja za sustav civilne zaštite uzimajući u obzir sve izrađene dokumente iz navedene kategorije, njihovu međusobnu povezanost i usklađenost te na temelju procjene implementiranosti ciljeva strategija u javne politike upravljanja rizicima na lokalnoj razini te do koje mjere su korišteni za potrebe definiranja sastava i strukture operativnih kapaciteta kao i za potrebe izrade planova djelovanja civilne zaštite procjenjuje se visokom. </w:t>
      </w:r>
    </w:p>
    <w:p w14:paraId="25792713"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Nadalje, spremnost sustava civilne zaštite na temelju razvijenosti ranog upozoravanja, razmjene informacija i njihovog korištenja za podizanje spremnosti sustava civilne zaštite kroz pripreme za provođenje mjera i aktivnosti u svrhu smanjivanja posljedica neposrednih i nastupajućih prijetnji također se procjenjuje visokom. Spremnost sustava civilne zaštite na temelju ocjena fiskalne situacije i njezine perspektive posebno za prenamjenu dijela sredstava koja se koriste za reagiranje za potrebe financiranja provođenja preventivnih mjera procjenjuje se visokom. Zaključno iako je u području preventive procijenjena visoka spremnost cjelovitog sustava civilne zaštite za upravljanje rizicima od velikih nesreća, Općina Sveti Juraj na Bregu će i dalje nastaviti raditi na kontinuiranom osposobljavanju snaga civilne zaštite, educiranju stanovništva o mogućim opasnostima od prirodnih rizika te provođenjem vježbi kako bi svi sudionici civilne zaštite bili upoznati sa svojim aktivnostima u slučaju mogućih rizika na području Općine. U Planu djelovanja sustava civilne zaštite Općine utvrđen je način organizacije, aktiviranja i djelovanja sustava civilne zaštite, zadaća i nadležnosti, ljudskih snaga i potrebnih materijalno-tehničkih sredstava te mjera i postupaka za provedbu civilne zaštite u slučaju određenih rizika.</w:t>
      </w:r>
    </w:p>
    <w:p w14:paraId="33DCC491" w14:textId="26E5E594"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t>Temeljem tumačenja Zakona o ublažavanju i uklanjanju posljedica prirodnih nepogoda dobivenog od Ministarstva financija KLASA:422-02/19-01/27</w:t>
      </w:r>
      <w:r w:rsidR="005319EE">
        <w:rPr>
          <w:rFonts w:ascii="Times New Roman" w:eastAsia="Calibri" w:hAnsi="Times New Roman" w:cs="Times New Roman"/>
        </w:rPr>
        <w:t>;</w:t>
      </w:r>
      <w:r w:rsidRPr="00E732EF">
        <w:rPr>
          <w:rFonts w:ascii="Times New Roman" w:eastAsia="Calibri" w:hAnsi="Times New Roman" w:cs="Times New Roman"/>
        </w:rPr>
        <w:t xml:space="preserve"> URBROJ:513-06-02-19-5 od 26. veljače 2019. godine, pod pojmom procjena osiguranja opreme i drugih sredstava za zaštitu i sprječavanje stradanja imovine, gospodarskih funkcija i stradanja stanovništva (čl.17. stavak 2. točka 2.) podrazumijeva se procjena opreme i drugih sredstava nužnih za sanaciju, djelomično otklanjanje i ublažavanje štete nastale uslijed djelovanja prirodne nepogode. </w:t>
      </w:r>
    </w:p>
    <w:p w14:paraId="376DBF26" w14:textId="77777777" w:rsidR="00E732EF" w:rsidRPr="00E732EF" w:rsidRDefault="00E732EF" w:rsidP="00E732EF">
      <w:pPr>
        <w:jc w:val="both"/>
        <w:rPr>
          <w:rFonts w:ascii="Times New Roman" w:eastAsia="Calibri" w:hAnsi="Times New Roman" w:cs="Times New Roman"/>
        </w:rPr>
      </w:pPr>
      <w:r w:rsidRPr="00E732EF">
        <w:rPr>
          <w:rFonts w:ascii="Times New Roman" w:eastAsia="Calibri" w:hAnsi="Times New Roman" w:cs="Times New Roman"/>
        </w:rPr>
        <w:lastRenderedPageBreak/>
        <w:t xml:space="preserve">Općina Sveti Juraj na Bregu ne raspolaže vlastitom opremom ni sredstvima za zaštitu i sprečavanje stradanja imovine, gospodarskih funkcija i stradanja stanovništva. Opremom i sredstvima raspolažu subjekti koji su navedeni kao nositelji mjera za otklanjanje izravnih posljedica prirodnih nepogoda. Gospodarski subjekti koji raspolažu opremom, za izvođenje potrebnih radnji u slučaju sanacije,  u okviru svoje redovne djelatnosti odrađuju preventivne mjere za smanjenje šteta pri nastajanju elementarne nepogode. </w:t>
      </w:r>
    </w:p>
    <w:p w14:paraId="084AF1CB" w14:textId="77777777" w:rsidR="00E732EF" w:rsidRPr="00E732EF" w:rsidRDefault="00E732EF" w:rsidP="00E732EF">
      <w:pPr>
        <w:jc w:val="both"/>
        <w:rPr>
          <w:rFonts w:ascii="Times New Roman" w:eastAsia="Calibri" w:hAnsi="Times New Roman" w:cs="Times New Roman"/>
          <w:b/>
          <w:bCs/>
        </w:rPr>
      </w:pPr>
      <w:r w:rsidRPr="00E732EF">
        <w:rPr>
          <w:rFonts w:ascii="Times New Roman" w:eastAsia="Calibri" w:hAnsi="Times New Roman" w:cs="Times New Roman"/>
          <w:b/>
          <w:bCs/>
        </w:rPr>
        <w:t>4. OSTALE MJERE KOJE UKLJUČUJU SURADNJU S NADLEŽNIM TIJELIMA  (ŽUPANIJA, MINISTARSTVO, STRUČNJAKA ZA PODRUČJE PRIRODNIH NEPOGODA)</w:t>
      </w:r>
    </w:p>
    <w:p w14:paraId="3E2ABC2F" w14:textId="77777777" w:rsidR="00E732EF" w:rsidRPr="00E732EF" w:rsidRDefault="00E732EF" w:rsidP="00E732EF">
      <w:pPr>
        <w:spacing w:after="0"/>
        <w:jc w:val="both"/>
        <w:rPr>
          <w:rFonts w:ascii="Times New Roman" w:eastAsia="Calibri" w:hAnsi="Times New Roman" w:cs="Times New Roman"/>
        </w:rPr>
      </w:pPr>
      <w:r w:rsidRPr="00E732EF">
        <w:rPr>
          <w:rFonts w:ascii="Times New Roman" w:eastAsia="Calibri" w:hAnsi="Times New Roman" w:cs="Times New Roman"/>
        </w:rPr>
        <w:t>Sukladno propisima kojima se uređuju pitanja u vezi elementarnih mjera kao mjera sanacije šteta od prirodnih nepogoda utvrđuje se:</w:t>
      </w:r>
    </w:p>
    <w:p w14:paraId="08821CD6" w14:textId="77777777" w:rsidR="00E732EF" w:rsidRPr="00E732EF" w:rsidRDefault="00E732EF" w:rsidP="00E732EF">
      <w:pPr>
        <w:numPr>
          <w:ilvl w:val="0"/>
          <w:numId w:val="12"/>
        </w:numPr>
        <w:spacing w:after="0"/>
        <w:jc w:val="both"/>
        <w:rPr>
          <w:rFonts w:ascii="Times New Roman" w:eastAsia="Calibri" w:hAnsi="Times New Roman" w:cs="Times New Roman"/>
        </w:rPr>
      </w:pPr>
      <w:r w:rsidRPr="00E732EF">
        <w:rPr>
          <w:rFonts w:ascii="Times New Roman" w:eastAsia="Calibri" w:hAnsi="Times New Roman" w:cs="Times New Roman"/>
        </w:rPr>
        <w:t xml:space="preserve">provedba mjera s ciljem dodjeljivanja pomoći za ublažavanje i djelomično uklanjanje šteta od prirodnih nepogoda </w:t>
      </w:r>
    </w:p>
    <w:p w14:paraId="0298F558" w14:textId="77777777" w:rsidR="00E732EF" w:rsidRPr="00E732EF" w:rsidRDefault="00E732EF" w:rsidP="00E732EF">
      <w:pPr>
        <w:numPr>
          <w:ilvl w:val="0"/>
          <w:numId w:val="12"/>
        </w:numPr>
        <w:spacing w:after="0"/>
        <w:jc w:val="both"/>
        <w:rPr>
          <w:rFonts w:ascii="Times New Roman" w:eastAsia="Calibri" w:hAnsi="Times New Roman" w:cs="Times New Roman"/>
        </w:rPr>
      </w:pPr>
      <w:r w:rsidRPr="00E732EF">
        <w:rPr>
          <w:rFonts w:ascii="Times New Roman" w:eastAsia="Calibri" w:hAnsi="Times New Roman" w:cs="Times New Roman"/>
        </w:rPr>
        <w:t xml:space="preserve"> provedba mjera s ciljem dodjeljivanja </w:t>
      </w:r>
      <w:r w:rsidRPr="00E732EF">
        <w:rPr>
          <w:rFonts w:ascii="Times New Roman" w:eastAsia="Calibri" w:hAnsi="Times New Roman" w:cs="Times New Roman"/>
          <w:u w:val="single"/>
        </w:rPr>
        <w:t>žurne pomoći</w:t>
      </w:r>
      <w:r w:rsidRPr="00E732EF">
        <w:rPr>
          <w:rFonts w:ascii="Times New Roman" w:eastAsia="Calibri" w:hAnsi="Times New Roman" w:cs="Times New Roman"/>
        </w:rPr>
        <w:t xml:space="preserve"> u svrhu djelomične sanacije šteta od prirodnih nepogoda </w:t>
      </w:r>
    </w:p>
    <w:p w14:paraId="4108DBE7" w14:textId="77777777" w:rsidR="00E732EF" w:rsidRPr="00E732EF" w:rsidRDefault="00E732EF" w:rsidP="00E732EF">
      <w:pPr>
        <w:spacing w:after="0"/>
        <w:rPr>
          <w:rFonts w:ascii="Times New Roman" w:eastAsia="Calibri" w:hAnsi="Times New Roman" w:cs="Times New Roman"/>
        </w:rPr>
      </w:pPr>
      <w:r w:rsidRPr="00E732EF">
        <w:rPr>
          <w:rFonts w:ascii="Times New Roman" w:eastAsia="Calibri" w:hAnsi="Times New Roman" w:cs="Times New Roman"/>
        </w:rPr>
        <w:t xml:space="preserve"> </w:t>
      </w:r>
    </w:p>
    <w:p w14:paraId="0BE909D6" w14:textId="77777777" w:rsidR="00E732EF" w:rsidRPr="00E732EF" w:rsidRDefault="00E732EF" w:rsidP="00E732EF">
      <w:pPr>
        <w:spacing w:after="0"/>
        <w:rPr>
          <w:rFonts w:ascii="Times New Roman" w:eastAsia="Calibri" w:hAnsi="Times New Roman" w:cs="Times New Roman"/>
          <w:i/>
          <w:iCs/>
        </w:rPr>
      </w:pPr>
      <w:r w:rsidRPr="00E732EF">
        <w:rPr>
          <w:rFonts w:ascii="Times New Roman" w:eastAsia="Calibri" w:hAnsi="Times New Roman" w:cs="Times New Roman"/>
          <w:i/>
          <w:iCs/>
        </w:rPr>
        <w:t xml:space="preserve">Nadležna tijela za provedbu mjera s ciljem djelomičnog ublažavanja šteta uslijed prirodnih nepogoda, sukladno Zakonu,  su: </w:t>
      </w:r>
    </w:p>
    <w:p w14:paraId="062B03DA" w14:textId="77777777" w:rsidR="00E732EF" w:rsidRPr="00E732EF" w:rsidRDefault="00E732EF" w:rsidP="00E732EF">
      <w:pPr>
        <w:numPr>
          <w:ilvl w:val="0"/>
          <w:numId w:val="24"/>
        </w:numPr>
        <w:spacing w:after="0"/>
        <w:rPr>
          <w:rFonts w:ascii="Times New Roman" w:eastAsia="Calibri" w:hAnsi="Times New Roman" w:cs="Times New Roman"/>
        </w:rPr>
      </w:pPr>
      <w:r w:rsidRPr="00E732EF">
        <w:rPr>
          <w:rFonts w:ascii="Times New Roman" w:eastAsia="Calibri" w:hAnsi="Times New Roman" w:cs="Times New Roman"/>
        </w:rPr>
        <w:t xml:space="preserve">Vlada Republike Hrvatske </w:t>
      </w:r>
    </w:p>
    <w:p w14:paraId="3B3F8302" w14:textId="77777777" w:rsidR="00E732EF" w:rsidRPr="00E732EF" w:rsidRDefault="00E732EF" w:rsidP="00E732EF">
      <w:pPr>
        <w:numPr>
          <w:ilvl w:val="0"/>
          <w:numId w:val="22"/>
        </w:numPr>
        <w:spacing w:after="0"/>
        <w:rPr>
          <w:rFonts w:ascii="Times New Roman" w:eastAsia="Calibri" w:hAnsi="Times New Roman" w:cs="Times New Roman"/>
        </w:rPr>
      </w:pPr>
      <w:r w:rsidRPr="00E732EF">
        <w:rPr>
          <w:rFonts w:ascii="Times New Roman" w:eastAsia="Calibri" w:hAnsi="Times New Roman" w:cs="Times New Roman"/>
        </w:rPr>
        <w:t xml:space="preserve">Povjerenstva za procjenu šteta od elementarnih nepogoda </w:t>
      </w:r>
    </w:p>
    <w:p w14:paraId="0E91C224" w14:textId="77777777" w:rsidR="00E732EF" w:rsidRPr="00E732EF" w:rsidRDefault="00E732EF" w:rsidP="00E732EF">
      <w:pPr>
        <w:numPr>
          <w:ilvl w:val="0"/>
          <w:numId w:val="22"/>
        </w:numPr>
        <w:spacing w:after="0"/>
        <w:jc w:val="both"/>
        <w:rPr>
          <w:rFonts w:ascii="Times New Roman" w:eastAsia="Calibri" w:hAnsi="Times New Roman" w:cs="Times New Roman"/>
        </w:rPr>
      </w:pPr>
      <w:r w:rsidRPr="00E732EF">
        <w:rPr>
          <w:rFonts w:ascii="Times New Roman" w:eastAsia="Calibri" w:hAnsi="Times New Roman" w:cs="Times New Roman"/>
        </w:rPr>
        <w:t xml:space="preserve">Nadležna ministarstva (ministarstva nadležna za financije; poljoprivredu; šumarstvo i ribarstvo; gospodarstvo; graditeljstvo i prostorno uređenje; zaštitu okoliša i energetiku; more, promet i infrastrukturu) </w:t>
      </w:r>
    </w:p>
    <w:p w14:paraId="08D18D76" w14:textId="77777777" w:rsidR="00E732EF" w:rsidRPr="00E732EF" w:rsidRDefault="00E732EF" w:rsidP="00E732EF">
      <w:pPr>
        <w:numPr>
          <w:ilvl w:val="0"/>
          <w:numId w:val="22"/>
        </w:numPr>
        <w:spacing w:after="0"/>
        <w:rPr>
          <w:rFonts w:ascii="Times New Roman" w:eastAsia="Calibri" w:hAnsi="Times New Roman" w:cs="Times New Roman"/>
        </w:rPr>
      </w:pPr>
      <w:r w:rsidRPr="00E732EF">
        <w:rPr>
          <w:rFonts w:ascii="Times New Roman" w:eastAsia="Calibri" w:hAnsi="Times New Roman" w:cs="Times New Roman"/>
        </w:rPr>
        <w:t xml:space="preserve">Međimurska županija </w:t>
      </w:r>
    </w:p>
    <w:p w14:paraId="6A2CAC0D" w14:textId="77777777" w:rsidR="00E732EF" w:rsidRPr="00E732EF" w:rsidRDefault="00E732EF" w:rsidP="00E732EF">
      <w:pPr>
        <w:numPr>
          <w:ilvl w:val="0"/>
          <w:numId w:val="22"/>
        </w:numPr>
        <w:spacing w:after="0"/>
        <w:rPr>
          <w:rFonts w:ascii="Times New Roman" w:eastAsia="Calibri" w:hAnsi="Times New Roman" w:cs="Times New Roman"/>
        </w:rPr>
      </w:pPr>
      <w:r w:rsidRPr="00E732EF">
        <w:rPr>
          <w:rFonts w:ascii="Times New Roman" w:eastAsia="Calibri" w:hAnsi="Times New Roman" w:cs="Times New Roman"/>
        </w:rPr>
        <w:t xml:space="preserve">Općina Sveti Juraj na Bregu </w:t>
      </w:r>
    </w:p>
    <w:p w14:paraId="4ED153CD" w14:textId="77777777" w:rsidR="00E732EF" w:rsidRPr="00E732EF" w:rsidRDefault="00E732EF" w:rsidP="00E732EF">
      <w:pPr>
        <w:spacing w:after="0"/>
        <w:rPr>
          <w:rFonts w:ascii="Times New Roman" w:eastAsia="Calibri" w:hAnsi="Times New Roman" w:cs="Times New Roman"/>
        </w:rPr>
      </w:pPr>
      <w:r w:rsidRPr="00E732EF">
        <w:rPr>
          <w:rFonts w:ascii="Times New Roman" w:eastAsia="Calibri" w:hAnsi="Times New Roman" w:cs="Times New Roman"/>
        </w:rPr>
        <w:t xml:space="preserve"> </w:t>
      </w:r>
    </w:p>
    <w:p w14:paraId="4F88BA96" w14:textId="77777777" w:rsidR="00E732EF" w:rsidRPr="00E732EF" w:rsidRDefault="00E732EF" w:rsidP="00E732EF">
      <w:pPr>
        <w:spacing w:after="0"/>
        <w:jc w:val="both"/>
        <w:rPr>
          <w:rFonts w:ascii="Times New Roman" w:eastAsia="Calibri" w:hAnsi="Times New Roman" w:cs="Times New Roman"/>
        </w:rPr>
      </w:pPr>
      <w:r w:rsidRPr="00E732EF">
        <w:rPr>
          <w:rFonts w:ascii="Times New Roman" w:eastAsia="Calibri" w:hAnsi="Times New Roman" w:cs="Times New Roman"/>
        </w:rPr>
        <w:t>Znanstvene ustanove za područje prirodnih nepogoda su Državni hidrometeorološki zavod (DHMZ), Zavod za seizmologiju i druge.</w:t>
      </w:r>
    </w:p>
    <w:p w14:paraId="4B6AE189" w14:textId="77777777" w:rsidR="00E732EF" w:rsidRPr="00E732EF" w:rsidRDefault="00E732EF" w:rsidP="00E732EF">
      <w:pPr>
        <w:spacing w:after="0"/>
        <w:jc w:val="both"/>
        <w:rPr>
          <w:rFonts w:ascii="Times New Roman" w:eastAsia="Calibri" w:hAnsi="Times New Roman" w:cs="Times New Roman"/>
        </w:rPr>
      </w:pPr>
      <w:r w:rsidRPr="00E732EF">
        <w:rPr>
          <w:rFonts w:ascii="Times New Roman" w:eastAsia="Calibri" w:hAnsi="Times New Roman" w:cs="Times New Roman"/>
        </w:rPr>
        <w:t xml:space="preserve">Općinsko povjerenstvo Općine Sveti Juraj na Bregu ostvaruje suradnju sa Županijskim povjerenstvom Međimurske županije za procjenu šteta od prirodnih nepogoda te sa istim usklađuje sve potrebne mjere i postupke oko provođenja ovog Plana. </w:t>
      </w:r>
    </w:p>
    <w:p w14:paraId="5E5B24D3" w14:textId="77777777" w:rsidR="00E732EF" w:rsidRPr="00E732EF" w:rsidRDefault="00E732EF" w:rsidP="00E732EF">
      <w:pPr>
        <w:spacing w:after="0" w:line="240" w:lineRule="auto"/>
        <w:rPr>
          <w:rFonts w:ascii="Calibri" w:eastAsia="Calibri" w:hAnsi="Calibri" w:cs="Times New Roman"/>
        </w:rPr>
      </w:pPr>
    </w:p>
    <w:p w14:paraId="69A0AD9C" w14:textId="77777777" w:rsidR="00E732EF" w:rsidRPr="00E732EF" w:rsidRDefault="00E732EF" w:rsidP="00E732EF">
      <w:pPr>
        <w:rPr>
          <w:rFonts w:ascii="Times New Roman" w:eastAsia="Calibri" w:hAnsi="Times New Roman" w:cs="Times New Roman"/>
          <w:b/>
          <w:bCs/>
        </w:rPr>
      </w:pPr>
      <w:r w:rsidRPr="00E732EF">
        <w:rPr>
          <w:rFonts w:ascii="Times New Roman" w:eastAsia="Calibri" w:hAnsi="Times New Roman" w:cs="Times New Roman"/>
          <w:b/>
          <w:bCs/>
        </w:rPr>
        <w:t xml:space="preserve">  ZAKLJUČAK </w:t>
      </w:r>
    </w:p>
    <w:p w14:paraId="54311648"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Ovim planom evidentirane su moguće prirodne nepogode na području Općine Sveti Juraj na Bregu, te preventivne i posljedične mjere koje se planiraju poduzimati. </w:t>
      </w:r>
    </w:p>
    <w:p w14:paraId="7A30B579"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Analizom učestalosti pojave istih kao i dosadašnjih šteta moguće je doći do procjene mogućih budućih šteta na području Općine. Analizirajući sve snage i sredstva vidljivo je da Općina ima snage kojima će provesti  mjere za ublažavanje i otklanjanje izravnih posljedica prirodne nepogode. </w:t>
      </w:r>
    </w:p>
    <w:p w14:paraId="39AEE3AF"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Preventivne radnje koje je Općina Sveti Juraj na Bregu u mogućnosti provesti, kontinuirano će se provoditi tokom godine. Isto tako Općina će, kao JLS ali i usmjeravanjem stanovništva participirati u projektima iz oblasti preventive i kurative u poljoprivredi u Županiji. Općina i Županija ima razvijen Program potpora u poljoprivredi (bespovratna sredstva iz Proračuna Općine ili Županije). Dio tih potpora koristiti će se i glede preventive i otklanjanja posljedica elementarnih nepogoda a naročito:</w:t>
      </w:r>
    </w:p>
    <w:p w14:paraId="05618CD1" w14:textId="77777777" w:rsidR="00E732EF" w:rsidRPr="00E732EF" w:rsidRDefault="00E732EF" w:rsidP="00E732EF">
      <w:pPr>
        <w:spacing w:after="0" w:line="240" w:lineRule="auto"/>
        <w:jc w:val="both"/>
        <w:rPr>
          <w:rFonts w:ascii="Times New Roman" w:eastAsia="Calibri" w:hAnsi="Times New Roman" w:cs="Times New Roman"/>
        </w:rPr>
      </w:pPr>
    </w:p>
    <w:p w14:paraId="0A63D20B" w14:textId="77777777" w:rsidR="00E732EF" w:rsidRPr="00E732EF" w:rsidRDefault="00E732EF" w:rsidP="00E732EF">
      <w:pPr>
        <w:numPr>
          <w:ilvl w:val="0"/>
          <w:numId w:val="23"/>
        </w:numPr>
        <w:spacing w:after="0" w:line="240" w:lineRule="auto"/>
        <w:rPr>
          <w:rFonts w:ascii="Times New Roman" w:eastAsia="Calibri" w:hAnsi="Times New Roman" w:cs="Times New Roman"/>
        </w:rPr>
      </w:pPr>
      <w:r w:rsidRPr="00E732EF">
        <w:rPr>
          <w:rFonts w:ascii="Times New Roman" w:eastAsia="Calibri" w:hAnsi="Times New Roman" w:cs="Times New Roman"/>
          <w:color w:val="444444"/>
          <w:shd w:val="clear" w:color="auto" w:fill="FFFFFF"/>
        </w:rPr>
        <w:t>Mjera 1.2. Uzorkovanje tla i kalcifikacija poljoprivrednog zemljišta</w:t>
      </w:r>
    </w:p>
    <w:p w14:paraId="327DB89A" w14:textId="77777777" w:rsidR="00E732EF" w:rsidRPr="00E732EF" w:rsidRDefault="00E732EF" w:rsidP="00E732EF">
      <w:pPr>
        <w:numPr>
          <w:ilvl w:val="0"/>
          <w:numId w:val="23"/>
        </w:numPr>
        <w:spacing w:after="0" w:line="240" w:lineRule="auto"/>
        <w:rPr>
          <w:rFonts w:ascii="Times New Roman" w:eastAsia="Calibri" w:hAnsi="Times New Roman" w:cs="Times New Roman"/>
        </w:rPr>
      </w:pPr>
      <w:r w:rsidRPr="00E732EF">
        <w:rPr>
          <w:rFonts w:ascii="Times New Roman" w:eastAsia="Calibri" w:hAnsi="Times New Roman" w:cs="Times New Roman"/>
          <w:color w:val="444444"/>
          <w:shd w:val="clear" w:color="auto" w:fill="FFFFFF"/>
        </w:rPr>
        <w:t>Mjera 1.3. Podizanje protugradnih mreža</w:t>
      </w:r>
    </w:p>
    <w:p w14:paraId="1C1FC629" w14:textId="77777777" w:rsidR="00E732EF" w:rsidRPr="00E732EF" w:rsidRDefault="00E732EF" w:rsidP="00E732EF">
      <w:pPr>
        <w:numPr>
          <w:ilvl w:val="0"/>
          <w:numId w:val="23"/>
        </w:numPr>
        <w:spacing w:after="0" w:line="240" w:lineRule="auto"/>
        <w:rPr>
          <w:rFonts w:ascii="Times New Roman" w:eastAsia="Calibri" w:hAnsi="Times New Roman" w:cs="Times New Roman"/>
        </w:rPr>
      </w:pPr>
      <w:r w:rsidRPr="00E732EF">
        <w:rPr>
          <w:rFonts w:ascii="Times New Roman" w:eastAsia="Calibri" w:hAnsi="Times New Roman" w:cs="Times New Roman"/>
          <w:color w:val="444444"/>
          <w:shd w:val="clear" w:color="auto" w:fill="FFFFFF"/>
        </w:rPr>
        <w:t>Mjera 1.4. Navodnjavanje i zaštita od mraza</w:t>
      </w:r>
    </w:p>
    <w:p w14:paraId="0A01E10C" w14:textId="77777777" w:rsidR="00E732EF" w:rsidRPr="00E732EF" w:rsidRDefault="00E732EF" w:rsidP="00E732EF">
      <w:pPr>
        <w:numPr>
          <w:ilvl w:val="0"/>
          <w:numId w:val="23"/>
        </w:numPr>
        <w:spacing w:after="0" w:line="240" w:lineRule="auto"/>
        <w:rPr>
          <w:rFonts w:ascii="Times New Roman" w:eastAsia="Calibri" w:hAnsi="Times New Roman" w:cs="Times New Roman"/>
        </w:rPr>
      </w:pPr>
      <w:r w:rsidRPr="00E732EF">
        <w:rPr>
          <w:rFonts w:ascii="Times New Roman" w:eastAsia="Calibri" w:hAnsi="Times New Roman" w:cs="Times New Roman"/>
          <w:color w:val="444444"/>
          <w:shd w:val="clear" w:color="auto" w:fill="FFFFFF"/>
        </w:rPr>
        <w:t>Mjera 1.5. Ekološka proizvodnja u poljoprivredi</w:t>
      </w:r>
    </w:p>
    <w:p w14:paraId="05234E26" w14:textId="77777777" w:rsidR="00E732EF" w:rsidRPr="00E732EF" w:rsidRDefault="00E732EF" w:rsidP="00E732EF">
      <w:pPr>
        <w:numPr>
          <w:ilvl w:val="0"/>
          <w:numId w:val="23"/>
        </w:numPr>
        <w:spacing w:after="0" w:line="240" w:lineRule="auto"/>
        <w:rPr>
          <w:rFonts w:ascii="Times New Roman" w:eastAsia="Calibri" w:hAnsi="Times New Roman" w:cs="Times New Roman"/>
        </w:rPr>
      </w:pPr>
      <w:r w:rsidRPr="00E732EF">
        <w:rPr>
          <w:rFonts w:ascii="Times New Roman" w:eastAsia="Calibri" w:hAnsi="Times New Roman" w:cs="Times New Roman"/>
          <w:color w:val="444444"/>
          <w:shd w:val="clear" w:color="auto" w:fill="FFFFFF"/>
        </w:rPr>
        <w:t>Mjera 2.2. Kupnja vode za OPG</w:t>
      </w:r>
    </w:p>
    <w:p w14:paraId="3679B18A" w14:textId="77777777" w:rsidR="00E732EF" w:rsidRPr="00E732EF" w:rsidRDefault="00E732EF" w:rsidP="00E732EF">
      <w:pPr>
        <w:numPr>
          <w:ilvl w:val="0"/>
          <w:numId w:val="23"/>
        </w:numPr>
        <w:spacing w:after="0" w:line="240" w:lineRule="auto"/>
        <w:rPr>
          <w:rFonts w:ascii="Times New Roman" w:eastAsia="Calibri" w:hAnsi="Times New Roman" w:cs="Times New Roman"/>
        </w:rPr>
      </w:pPr>
      <w:r w:rsidRPr="00E732EF">
        <w:rPr>
          <w:rFonts w:ascii="Times New Roman" w:eastAsia="Calibri" w:hAnsi="Times New Roman" w:cs="Times New Roman"/>
          <w:color w:val="444444"/>
          <w:shd w:val="clear" w:color="auto" w:fill="FFFFFF"/>
        </w:rPr>
        <w:lastRenderedPageBreak/>
        <w:t>Mjera 3.1. Plastenici i staklenici</w:t>
      </w:r>
    </w:p>
    <w:p w14:paraId="759CDBA3" w14:textId="77777777" w:rsidR="00E732EF" w:rsidRPr="00E732EF" w:rsidRDefault="00E732EF" w:rsidP="00E732EF">
      <w:pPr>
        <w:numPr>
          <w:ilvl w:val="0"/>
          <w:numId w:val="23"/>
        </w:numPr>
        <w:spacing w:after="0" w:line="240" w:lineRule="auto"/>
        <w:rPr>
          <w:rFonts w:ascii="Times New Roman" w:eastAsia="Calibri" w:hAnsi="Times New Roman" w:cs="Times New Roman"/>
        </w:rPr>
      </w:pPr>
      <w:r w:rsidRPr="00E732EF">
        <w:rPr>
          <w:rFonts w:ascii="Times New Roman" w:eastAsia="Calibri" w:hAnsi="Times New Roman" w:cs="Times New Roman"/>
          <w:color w:val="444444"/>
          <w:shd w:val="clear" w:color="auto" w:fill="FFFFFF"/>
        </w:rPr>
        <w:t>Mjera 5.1. Premija osiguranja biljne i stočarske proizvodnje</w:t>
      </w:r>
    </w:p>
    <w:p w14:paraId="1DA2FA9F" w14:textId="77777777" w:rsidR="00E732EF" w:rsidRPr="00E732EF" w:rsidRDefault="00E732EF" w:rsidP="00E732EF">
      <w:pPr>
        <w:numPr>
          <w:ilvl w:val="0"/>
          <w:numId w:val="23"/>
        </w:numPr>
        <w:spacing w:after="0" w:line="240" w:lineRule="auto"/>
        <w:rPr>
          <w:rFonts w:ascii="Times New Roman" w:eastAsia="Calibri" w:hAnsi="Times New Roman" w:cs="Times New Roman"/>
        </w:rPr>
      </w:pPr>
      <w:r w:rsidRPr="00E732EF">
        <w:rPr>
          <w:rFonts w:ascii="Times New Roman" w:eastAsia="Calibri" w:hAnsi="Times New Roman" w:cs="Times New Roman"/>
          <w:color w:val="444444"/>
          <w:shd w:val="clear" w:color="auto" w:fill="FFFFFF"/>
        </w:rPr>
        <w:t>Mjera 7.1. Nabavka loznih cijepova i voćnih sadnica</w:t>
      </w:r>
    </w:p>
    <w:p w14:paraId="107569BA" w14:textId="77777777" w:rsidR="00E732EF" w:rsidRPr="00E732EF" w:rsidRDefault="00E732EF" w:rsidP="00E732EF">
      <w:pPr>
        <w:numPr>
          <w:ilvl w:val="0"/>
          <w:numId w:val="23"/>
        </w:numPr>
        <w:spacing w:after="0" w:line="240" w:lineRule="auto"/>
        <w:rPr>
          <w:rFonts w:ascii="Times New Roman" w:eastAsia="Calibri" w:hAnsi="Times New Roman" w:cs="Times New Roman"/>
        </w:rPr>
      </w:pPr>
      <w:r w:rsidRPr="00E732EF">
        <w:rPr>
          <w:rFonts w:ascii="Times New Roman" w:eastAsia="Calibri" w:hAnsi="Times New Roman" w:cs="Times New Roman"/>
          <w:color w:val="444444"/>
          <w:shd w:val="clear" w:color="auto" w:fill="FFFFFF"/>
        </w:rPr>
        <w:t>Mjera 10.3. Naknade šteta od elementarne nepogode</w:t>
      </w:r>
    </w:p>
    <w:p w14:paraId="0365AE62" w14:textId="77777777" w:rsidR="00E732EF" w:rsidRPr="00E732EF" w:rsidRDefault="00E732EF" w:rsidP="00E732EF">
      <w:pPr>
        <w:spacing w:after="0" w:line="240" w:lineRule="auto"/>
        <w:jc w:val="both"/>
        <w:rPr>
          <w:rFonts w:ascii="Times New Roman" w:eastAsia="Calibri" w:hAnsi="Times New Roman" w:cs="Times New Roman"/>
        </w:rPr>
      </w:pPr>
    </w:p>
    <w:p w14:paraId="6EDFA6B6"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Za interventne potrebe kod dešavanja elementarnih nepogoda Općina </w:t>
      </w:r>
      <w:r w:rsidR="00E21C3A">
        <w:rPr>
          <w:rFonts w:ascii="Times New Roman" w:eastAsia="Calibri" w:hAnsi="Times New Roman" w:cs="Times New Roman"/>
        </w:rPr>
        <w:t xml:space="preserve">će koristiti sredstva iz </w:t>
      </w:r>
      <w:r w:rsidRPr="00E732EF">
        <w:rPr>
          <w:rFonts w:ascii="Times New Roman" w:eastAsia="Calibri" w:hAnsi="Times New Roman" w:cs="Times New Roman"/>
        </w:rPr>
        <w:t xml:space="preserve"> općinskog proračuna. </w:t>
      </w:r>
    </w:p>
    <w:p w14:paraId="150B8E67" w14:textId="77777777" w:rsidR="00E732EF" w:rsidRPr="00E732EF" w:rsidRDefault="00E732EF" w:rsidP="00E732EF">
      <w:pPr>
        <w:spacing w:after="0"/>
        <w:rPr>
          <w:rFonts w:ascii="Times New Roman" w:eastAsia="Calibri" w:hAnsi="Times New Roman" w:cs="Times New Roman"/>
        </w:rPr>
      </w:pPr>
    </w:p>
    <w:p w14:paraId="7762C9AD" w14:textId="5D73B4EE" w:rsidR="00E732EF" w:rsidRPr="00C428B6" w:rsidRDefault="00395D35" w:rsidP="00E732EF">
      <w:pPr>
        <w:spacing w:after="0"/>
        <w:rPr>
          <w:rFonts w:ascii="Times New Roman" w:eastAsia="Calibri" w:hAnsi="Times New Roman" w:cs="Times New Roman"/>
        </w:rPr>
      </w:pPr>
      <w:r w:rsidRPr="00C428B6">
        <w:rPr>
          <w:rFonts w:ascii="Times New Roman" w:eastAsia="Calibri" w:hAnsi="Times New Roman" w:cs="Times New Roman"/>
        </w:rPr>
        <w:t>KLASA</w:t>
      </w:r>
      <w:r w:rsidRPr="000C5C03">
        <w:rPr>
          <w:rFonts w:ascii="Times New Roman" w:eastAsia="Calibri" w:hAnsi="Times New Roman" w:cs="Times New Roman"/>
        </w:rPr>
        <w:t>:</w:t>
      </w:r>
      <w:r w:rsidR="00C428B6" w:rsidRPr="000C5C03">
        <w:rPr>
          <w:rFonts w:ascii="Times New Roman" w:hAnsi="Times New Roman" w:cs="Times New Roman"/>
        </w:rPr>
        <w:t xml:space="preserve"> </w:t>
      </w:r>
      <w:r w:rsidR="000C5C03" w:rsidRPr="000C5C03">
        <w:rPr>
          <w:rFonts w:ascii="Times New Roman" w:hAnsi="Times New Roman" w:cs="Times New Roman"/>
        </w:rPr>
        <w:t>920-11/25-01/02</w:t>
      </w:r>
    </w:p>
    <w:p w14:paraId="23DFDDE5" w14:textId="2B77521F" w:rsidR="00E732EF" w:rsidRPr="00C428B6" w:rsidRDefault="00E732EF" w:rsidP="00E001BB">
      <w:pPr>
        <w:spacing w:after="0"/>
        <w:rPr>
          <w:rFonts w:ascii="Times New Roman" w:hAnsi="Times New Roman" w:cs="Times New Roman"/>
        </w:rPr>
      </w:pPr>
      <w:r w:rsidRPr="00C428B6">
        <w:rPr>
          <w:rFonts w:ascii="Times New Roman" w:eastAsia="Calibri" w:hAnsi="Times New Roman" w:cs="Times New Roman"/>
        </w:rPr>
        <w:t>URBROJ:</w:t>
      </w:r>
      <w:r w:rsidR="000C5C03" w:rsidRPr="000C5C03">
        <w:t xml:space="preserve"> </w:t>
      </w:r>
      <w:r w:rsidR="000C5C03" w:rsidRPr="000C5C03">
        <w:rPr>
          <w:rFonts w:ascii="Times New Roman" w:eastAsia="Calibri" w:hAnsi="Times New Roman" w:cs="Times New Roman"/>
        </w:rPr>
        <w:t>2109-16-03-25-1</w:t>
      </w:r>
    </w:p>
    <w:p w14:paraId="5E507155" w14:textId="6E183C0A" w:rsidR="00E732EF" w:rsidRPr="00C428B6" w:rsidRDefault="00190F89" w:rsidP="00E732EF">
      <w:pPr>
        <w:spacing w:after="0"/>
        <w:rPr>
          <w:rFonts w:ascii="Times New Roman" w:eastAsia="Calibri" w:hAnsi="Times New Roman" w:cs="Times New Roman"/>
        </w:rPr>
      </w:pPr>
      <w:r w:rsidRPr="00C428B6">
        <w:rPr>
          <w:rFonts w:ascii="Times New Roman" w:eastAsia="Calibri" w:hAnsi="Times New Roman" w:cs="Times New Roman"/>
        </w:rPr>
        <w:t xml:space="preserve">U Pleškovcu, </w:t>
      </w:r>
      <w:r w:rsidR="000C5C03">
        <w:rPr>
          <w:rFonts w:ascii="Times New Roman" w:eastAsia="Calibri" w:hAnsi="Times New Roman" w:cs="Times New Roman"/>
        </w:rPr>
        <w:t>29. rujna</w:t>
      </w:r>
      <w:r w:rsidRPr="00C428B6">
        <w:rPr>
          <w:rFonts w:ascii="Times New Roman" w:eastAsia="Calibri" w:hAnsi="Times New Roman" w:cs="Times New Roman"/>
        </w:rPr>
        <w:t xml:space="preserve"> 202</w:t>
      </w:r>
      <w:r w:rsidR="00394D03">
        <w:rPr>
          <w:rFonts w:ascii="Times New Roman" w:eastAsia="Calibri" w:hAnsi="Times New Roman" w:cs="Times New Roman"/>
        </w:rPr>
        <w:t>5</w:t>
      </w:r>
      <w:r w:rsidR="00E001BB" w:rsidRPr="00C428B6">
        <w:rPr>
          <w:rFonts w:ascii="Times New Roman" w:eastAsia="Calibri" w:hAnsi="Times New Roman" w:cs="Times New Roman"/>
        </w:rPr>
        <w:t>.</w:t>
      </w:r>
    </w:p>
    <w:p w14:paraId="4F18AD3C" w14:textId="77777777" w:rsidR="00E732EF" w:rsidRPr="00E732EF" w:rsidRDefault="00E732EF" w:rsidP="00E732EF">
      <w:pPr>
        <w:spacing w:after="0"/>
        <w:rPr>
          <w:rFonts w:ascii="Times New Roman" w:eastAsia="Calibri" w:hAnsi="Times New Roman" w:cs="Times New Roman"/>
        </w:rPr>
      </w:pPr>
    </w:p>
    <w:p w14:paraId="00BAAB18" w14:textId="77777777" w:rsidR="00E732EF" w:rsidRPr="00E732EF" w:rsidRDefault="00E732EF" w:rsidP="00E732EF">
      <w:pPr>
        <w:spacing w:after="0"/>
        <w:rPr>
          <w:rFonts w:ascii="Times New Roman" w:eastAsia="Calibri" w:hAnsi="Times New Roman" w:cs="Times New Roman"/>
        </w:rPr>
      </w:pPr>
    </w:p>
    <w:p w14:paraId="14427876" w14:textId="77777777" w:rsidR="00E732EF" w:rsidRPr="00E732EF" w:rsidRDefault="00E732EF" w:rsidP="00E732EF">
      <w:pPr>
        <w:spacing w:after="0"/>
        <w:jc w:val="both"/>
        <w:rPr>
          <w:rFonts w:ascii="Times New Roman" w:eastAsia="Calibri" w:hAnsi="Times New Roman" w:cs="Times New Roman"/>
        </w:rPr>
      </w:pPr>
    </w:p>
    <w:p w14:paraId="5513F7F2" w14:textId="77777777" w:rsidR="00E732EF" w:rsidRPr="00E732EF" w:rsidRDefault="00E732EF" w:rsidP="00E732EF">
      <w:pPr>
        <w:spacing w:after="0" w:line="240" w:lineRule="auto"/>
        <w:jc w:val="both"/>
        <w:rPr>
          <w:rFonts w:ascii="Times New Roman" w:eastAsia="Calibri" w:hAnsi="Times New Roman" w:cs="Times New Roman"/>
          <w:b/>
        </w:rPr>
      </w:pPr>
      <w:r w:rsidRPr="00E732EF">
        <w:rPr>
          <w:rFonts w:ascii="Calibri" w:eastAsia="Calibri" w:hAnsi="Calibri" w:cs="Times New Roman"/>
        </w:rPr>
        <w:t xml:space="preserve">                                                                                                                         </w:t>
      </w:r>
      <w:r w:rsidR="00E21C3A">
        <w:rPr>
          <w:rFonts w:ascii="Calibri" w:eastAsia="Calibri" w:hAnsi="Calibri" w:cs="Times New Roman"/>
        </w:rPr>
        <w:t xml:space="preserve">            </w:t>
      </w:r>
      <w:r w:rsidRPr="00E732EF">
        <w:rPr>
          <w:rFonts w:ascii="Times New Roman" w:eastAsia="Calibri" w:hAnsi="Times New Roman" w:cs="Times New Roman"/>
          <w:b/>
        </w:rPr>
        <w:t xml:space="preserve">PREDSJEDNIK </w:t>
      </w:r>
    </w:p>
    <w:p w14:paraId="7A1BE347" w14:textId="3048D509"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                                                                                                                      </w:t>
      </w:r>
      <w:r w:rsidR="005319EE">
        <w:rPr>
          <w:rFonts w:ascii="Times New Roman" w:eastAsia="Calibri" w:hAnsi="Times New Roman" w:cs="Times New Roman"/>
        </w:rPr>
        <w:t xml:space="preserve">   </w:t>
      </w:r>
      <w:r w:rsidRPr="00E732EF">
        <w:rPr>
          <w:rFonts w:ascii="Times New Roman" w:eastAsia="Calibri" w:hAnsi="Times New Roman" w:cs="Times New Roman"/>
        </w:rPr>
        <w:t>Općinskog vijeća</w:t>
      </w:r>
    </w:p>
    <w:p w14:paraId="1AEB1394" w14:textId="470FB9C2"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                                                                                                                      </w:t>
      </w:r>
      <w:r w:rsidR="005319EE">
        <w:rPr>
          <w:rFonts w:ascii="Times New Roman" w:eastAsia="Calibri" w:hAnsi="Times New Roman" w:cs="Times New Roman"/>
        </w:rPr>
        <w:t xml:space="preserve">  </w:t>
      </w:r>
      <w:r w:rsidR="00394D03">
        <w:rPr>
          <w:rFonts w:ascii="Times New Roman" w:eastAsia="Calibri" w:hAnsi="Times New Roman" w:cs="Times New Roman"/>
        </w:rPr>
        <w:t xml:space="preserve">    </w:t>
      </w:r>
      <w:r w:rsidR="005319EE">
        <w:rPr>
          <w:rFonts w:ascii="Times New Roman" w:eastAsia="Calibri" w:hAnsi="Times New Roman" w:cs="Times New Roman"/>
        </w:rPr>
        <w:t xml:space="preserve"> </w:t>
      </w:r>
      <w:r w:rsidR="00394D03">
        <w:rPr>
          <w:rFonts w:ascii="Times New Roman" w:eastAsia="Calibri" w:hAnsi="Times New Roman" w:cs="Times New Roman"/>
        </w:rPr>
        <w:t>Damir Novak</w:t>
      </w:r>
    </w:p>
    <w:p w14:paraId="475AE71D" w14:textId="77777777" w:rsidR="00E732EF" w:rsidRPr="00E732EF" w:rsidRDefault="00E732EF" w:rsidP="00E732EF">
      <w:pPr>
        <w:spacing w:after="0" w:line="240" w:lineRule="auto"/>
        <w:jc w:val="both"/>
        <w:rPr>
          <w:rFonts w:ascii="Times New Roman" w:eastAsia="Calibri" w:hAnsi="Times New Roman" w:cs="Times New Roman"/>
        </w:rPr>
      </w:pPr>
    </w:p>
    <w:p w14:paraId="05610EEB" w14:textId="77777777" w:rsidR="00E732EF" w:rsidRPr="00E732EF" w:rsidRDefault="00E732EF" w:rsidP="00E732EF">
      <w:pPr>
        <w:spacing w:after="0" w:line="240" w:lineRule="auto"/>
        <w:jc w:val="both"/>
        <w:rPr>
          <w:rFonts w:ascii="Times New Roman" w:eastAsia="Calibri" w:hAnsi="Times New Roman" w:cs="Times New Roman"/>
        </w:rPr>
      </w:pPr>
    </w:p>
    <w:p w14:paraId="7785F681" w14:textId="77777777" w:rsidR="00E732EF" w:rsidRPr="00E732EF" w:rsidRDefault="00E732EF" w:rsidP="00E732EF">
      <w:pPr>
        <w:spacing w:after="0" w:line="240" w:lineRule="auto"/>
        <w:jc w:val="both"/>
        <w:rPr>
          <w:rFonts w:ascii="Times New Roman" w:eastAsia="Calibri" w:hAnsi="Times New Roman" w:cs="Times New Roman"/>
        </w:rPr>
      </w:pPr>
    </w:p>
    <w:p w14:paraId="694EA859" w14:textId="77777777" w:rsidR="00E732EF" w:rsidRPr="00E732EF" w:rsidRDefault="00E732EF" w:rsidP="00E732EF">
      <w:pPr>
        <w:spacing w:after="0" w:line="240" w:lineRule="auto"/>
        <w:jc w:val="both"/>
        <w:rPr>
          <w:rFonts w:ascii="Times New Roman" w:eastAsia="Calibri" w:hAnsi="Times New Roman" w:cs="Times New Roman"/>
        </w:rPr>
      </w:pPr>
    </w:p>
    <w:p w14:paraId="099D5758" w14:textId="77777777" w:rsidR="00E732EF" w:rsidRPr="00E732EF" w:rsidRDefault="00E732EF" w:rsidP="00E732EF">
      <w:pPr>
        <w:spacing w:after="0" w:line="240" w:lineRule="auto"/>
        <w:jc w:val="both"/>
        <w:rPr>
          <w:rFonts w:ascii="Times New Roman" w:eastAsia="Calibri" w:hAnsi="Times New Roman" w:cs="Times New Roman"/>
        </w:rPr>
      </w:pPr>
    </w:p>
    <w:p w14:paraId="742C8BDB" w14:textId="77777777" w:rsidR="00E732EF" w:rsidRPr="00E732EF" w:rsidRDefault="00E732EF" w:rsidP="00E732EF">
      <w:pPr>
        <w:spacing w:after="0" w:line="240" w:lineRule="auto"/>
        <w:jc w:val="both"/>
        <w:rPr>
          <w:rFonts w:ascii="Times New Roman" w:eastAsia="Calibri" w:hAnsi="Times New Roman" w:cs="Times New Roman"/>
        </w:rPr>
      </w:pPr>
    </w:p>
    <w:p w14:paraId="6BFE35EF" w14:textId="77777777" w:rsidR="00E732EF" w:rsidRPr="00E732EF" w:rsidRDefault="00E732EF" w:rsidP="00E732EF">
      <w:pPr>
        <w:spacing w:after="0" w:line="240" w:lineRule="auto"/>
        <w:jc w:val="both"/>
        <w:rPr>
          <w:rFonts w:ascii="Times New Roman" w:eastAsia="Calibri" w:hAnsi="Times New Roman" w:cs="Times New Roman"/>
        </w:rPr>
      </w:pPr>
    </w:p>
    <w:p w14:paraId="126808E3" w14:textId="77777777" w:rsidR="00E732EF" w:rsidRPr="00E732EF" w:rsidRDefault="00E732EF" w:rsidP="00E732EF">
      <w:pPr>
        <w:spacing w:after="0" w:line="240" w:lineRule="auto"/>
        <w:jc w:val="both"/>
        <w:rPr>
          <w:rFonts w:ascii="Times New Roman" w:eastAsia="Calibri" w:hAnsi="Times New Roman" w:cs="Times New Roman"/>
        </w:rPr>
      </w:pPr>
    </w:p>
    <w:p w14:paraId="3C29B811" w14:textId="77777777" w:rsidR="00E732EF" w:rsidRPr="00E732EF" w:rsidRDefault="00E732EF" w:rsidP="00E732EF">
      <w:pPr>
        <w:spacing w:after="0" w:line="240" w:lineRule="auto"/>
        <w:jc w:val="both"/>
        <w:rPr>
          <w:rFonts w:ascii="Times New Roman" w:eastAsia="Calibri" w:hAnsi="Times New Roman" w:cs="Times New Roman"/>
        </w:rPr>
      </w:pPr>
    </w:p>
    <w:p w14:paraId="27874895" w14:textId="77777777" w:rsidR="00E732EF" w:rsidRPr="00E732EF" w:rsidRDefault="00E732EF" w:rsidP="00E732EF">
      <w:pPr>
        <w:spacing w:after="0" w:line="240" w:lineRule="auto"/>
        <w:jc w:val="both"/>
        <w:rPr>
          <w:rFonts w:ascii="Times New Roman" w:eastAsia="Calibri" w:hAnsi="Times New Roman" w:cs="Times New Roman"/>
        </w:rPr>
      </w:pPr>
    </w:p>
    <w:p w14:paraId="0BF83EE5" w14:textId="77777777" w:rsidR="00E732EF" w:rsidRPr="00E732EF" w:rsidRDefault="00E732EF" w:rsidP="00E732EF">
      <w:pPr>
        <w:spacing w:after="0" w:line="240" w:lineRule="auto"/>
        <w:jc w:val="both"/>
        <w:rPr>
          <w:rFonts w:ascii="Times New Roman" w:eastAsia="Calibri" w:hAnsi="Times New Roman" w:cs="Times New Roman"/>
        </w:rPr>
      </w:pPr>
    </w:p>
    <w:p w14:paraId="4D918499" w14:textId="77777777" w:rsidR="00E732EF" w:rsidRPr="00E732EF" w:rsidRDefault="00E732EF" w:rsidP="00E732EF">
      <w:pPr>
        <w:spacing w:after="0" w:line="240" w:lineRule="auto"/>
        <w:jc w:val="both"/>
        <w:rPr>
          <w:rFonts w:ascii="Times New Roman" w:eastAsia="Calibri" w:hAnsi="Times New Roman" w:cs="Times New Roman"/>
        </w:rPr>
      </w:pPr>
    </w:p>
    <w:p w14:paraId="6298BE44" w14:textId="77777777" w:rsidR="00E732EF" w:rsidRPr="00E732EF" w:rsidRDefault="00E732EF" w:rsidP="00E732EF">
      <w:pPr>
        <w:spacing w:after="0" w:line="240" w:lineRule="auto"/>
        <w:jc w:val="both"/>
        <w:rPr>
          <w:rFonts w:ascii="Times New Roman" w:eastAsia="Calibri" w:hAnsi="Times New Roman" w:cs="Times New Roman"/>
        </w:rPr>
      </w:pPr>
    </w:p>
    <w:p w14:paraId="18C82AFF" w14:textId="77777777" w:rsidR="00E732EF" w:rsidRPr="00E732EF" w:rsidRDefault="00E732EF" w:rsidP="00E732EF">
      <w:pPr>
        <w:spacing w:after="0" w:line="240" w:lineRule="auto"/>
        <w:jc w:val="both"/>
        <w:rPr>
          <w:rFonts w:ascii="Times New Roman" w:eastAsia="Calibri" w:hAnsi="Times New Roman" w:cs="Times New Roman"/>
        </w:rPr>
      </w:pPr>
    </w:p>
    <w:p w14:paraId="52262884" w14:textId="77777777" w:rsidR="00E732EF" w:rsidRPr="00E732EF" w:rsidRDefault="00E732EF" w:rsidP="00E732EF">
      <w:pPr>
        <w:spacing w:after="0" w:line="240" w:lineRule="auto"/>
        <w:jc w:val="both"/>
        <w:rPr>
          <w:rFonts w:ascii="Times New Roman" w:eastAsia="Calibri" w:hAnsi="Times New Roman" w:cs="Times New Roman"/>
        </w:rPr>
      </w:pPr>
    </w:p>
    <w:p w14:paraId="1CED2C6B" w14:textId="77777777" w:rsidR="00E732EF" w:rsidRPr="00E732EF" w:rsidRDefault="00E732EF" w:rsidP="00E732EF">
      <w:pPr>
        <w:spacing w:after="0" w:line="240" w:lineRule="auto"/>
        <w:jc w:val="both"/>
        <w:rPr>
          <w:rFonts w:ascii="Times New Roman" w:eastAsia="Calibri" w:hAnsi="Times New Roman" w:cs="Times New Roman"/>
        </w:rPr>
      </w:pPr>
    </w:p>
    <w:p w14:paraId="51CDBDE4" w14:textId="77777777" w:rsidR="00E732EF" w:rsidRPr="00E732EF" w:rsidRDefault="00E732EF" w:rsidP="00E732EF">
      <w:pPr>
        <w:spacing w:after="0" w:line="240" w:lineRule="auto"/>
        <w:jc w:val="both"/>
        <w:rPr>
          <w:rFonts w:ascii="Times New Roman" w:eastAsia="Calibri" w:hAnsi="Times New Roman" w:cs="Times New Roman"/>
        </w:rPr>
      </w:pPr>
    </w:p>
    <w:p w14:paraId="5CFAB66F" w14:textId="77777777" w:rsidR="00E732EF" w:rsidRPr="00E732EF" w:rsidRDefault="00E732EF" w:rsidP="00E732EF">
      <w:pPr>
        <w:spacing w:after="0" w:line="240" w:lineRule="auto"/>
        <w:jc w:val="both"/>
        <w:rPr>
          <w:rFonts w:ascii="Times New Roman" w:eastAsia="Calibri" w:hAnsi="Times New Roman" w:cs="Times New Roman"/>
        </w:rPr>
      </w:pPr>
    </w:p>
    <w:p w14:paraId="19359BAA" w14:textId="77777777" w:rsidR="00E732EF" w:rsidRPr="00E732EF" w:rsidRDefault="00E732EF" w:rsidP="00E732EF">
      <w:pPr>
        <w:spacing w:after="0" w:line="240" w:lineRule="auto"/>
        <w:jc w:val="both"/>
        <w:rPr>
          <w:rFonts w:ascii="Times New Roman" w:eastAsia="Calibri" w:hAnsi="Times New Roman" w:cs="Times New Roman"/>
        </w:rPr>
      </w:pPr>
    </w:p>
    <w:p w14:paraId="38A18C58" w14:textId="77777777" w:rsidR="00E732EF" w:rsidRPr="00E732EF" w:rsidRDefault="00E732EF" w:rsidP="00E732EF">
      <w:pPr>
        <w:spacing w:after="0" w:line="240" w:lineRule="auto"/>
        <w:jc w:val="both"/>
        <w:rPr>
          <w:rFonts w:ascii="Times New Roman" w:eastAsia="Calibri" w:hAnsi="Times New Roman" w:cs="Times New Roman"/>
        </w:rPr>
      </w:pPr>
    </w:p>
    <w:p w14:paraId="2891DFAA" w14:textId="77777777" w:rsidR="00E732EF" w:rsidRPr="00E732EF" w:rsidRDefault="00E732EF" w:rsidP="00E732EF">
      <w:pPr>
        <w:spacing w:after="0" w:line="240" w:lineRule="auto"/>
        <w:jc w:val="both"/>
        <w:rPr>
          <w:rFonts w:ascii="Times New Roman" w:eastAsia="Calibri" w:hAnsi="Times New Roman" w:cs="Times New Roman"/>
        </w:rPr>
      </w:pPr>
    </w:p>
    <w:p w14:paraId="7F3E5279" w14:textId="77777777" w:rsidR="00E732EF" w:rsidRPr="00E732EF" w:rsidRDefault="00E732EF" w:rsidP="00E732EF">
      <w:pPr>
        <w:spacing w:after="0" w:line="240" w:lineRule="auto"/>
        <w:jc w:val="both"/>
        <w:rPr>
          <w:rFonts w:ascii="Times New Roman" w:eastAsia="Calibri" w:hAnsi="Times New Roman" w:cs="Times New Roman"/>
        </w:rPr>
      </w:pPr>
    </w:p>
    <w:p w14:paraId="14EEE45F" w14:textId="77777777" w:rsidR="00E732EF" w:rsidRPr="00E732EF" w:rsidRDefault="00E732EF" w:rsidP="00E732EF">
      <w:pPr>
        <w:spacing w:after="0" w:line="240" w:lineRule="auto"/>
        <w:jc w:val="both"/>
        <w:rPr>
          <w:rFonts w:ascii="Times New Roman" w:eastAsia="Calibri" w:hAnsi="Times New Roman" w:cs="Times New Roman"/>
        </w:rPr>
      </w:pPr>
    </w:p>
    <w:p w14:paraId="2BBBC018" w14:textId="77777777" w:rsidR="00E732EF" w:rsidRPr="00E732EF" w:rsidRDefault="00E732EF" w:rsidP="00E732EF">
      <w:pPr>
        <w:spacing w:after="0" w:line="240" w:lineRule="auto"/>
        <w:jc w:val="both"/>
        <w:rPr>
          <w:rFonts w:ascii="Times New Roman" w:eastAsia="Calibri" w:hAnsi="Times New Roman" w:cs="Times New Roman"/>
        </w:rPr>
      </w:pPr>
    </w:p>
    <w:p w14:paraId="5CC5194E" w14:textId="77777777" w:rsidR="00E732EF" w:rsidRPr="00E732EF" w:rsidRDefault="00E732EF" w:rsidP="00E732EF">
      <w:pPr>
        <w:spacing w:after="0" w:line="240" w:lineRule="auto"/>
        <w:jc w:val="both"/>
        <w:rPr>
          <w:rFonts w:ascii="Times New Roman" w:eastAsia="Calibri" w:hAnsi="Times New Roman" w:cs="Times New Roman"/>
        </w:rPr>
      </w:pPr>
    </w:p>
    <w:p w14:paraId="1068B535" w14:textId="77777777" w:rsidR="00E732EF" w:rsidRPr="00E732EF" w:rsidRDefault="00E732EF" w:rsidP="00E732EF">
      <w:pPr>
        <w:spacing w:after="0" w:line="240" w:lineRule="auto"/>
        <w:jc w:val="both"/>
        <w:rPr>
          <w:rFonts w:ascii="Times New Roman" w:eastAsia="Calibri" w:hAnsi="Times New Roman" w:cs="Times New Roman"/>
        </w:rPr>
      </w:pPr>
    </w:p>
    <w:p w14:paraId="1BFC6D00" w14:textId="77777777" w:rsidR="00E732EF" w:rsidRPr="00E732EF" w:rsidRDefault="00E732EF" w:rsidP="00E732EF">
      <w:pPr>
        <w:spacing w:after="0" w:line="240" w:lineRule="auto"/>
        <w:jc w:val="both"/>
        <w:rPr>
          <w:rFonts w:ascii="Times New Roman" w:eastAsia="Calibri" w:hAnsi="Times New Roman" w:cs="Times New Roman"/>
        </w:rPr>
      </w:pPr>
    </w:p>
    <w:p w14:paraId="3DEE5C10" w14:textId="77777777" w:rsidR="00E732EF" w:rsidRPr="00E732EF" w:rsidRDefault="00E732EF" w:rsidP="00E732EF">
      <w:pPr>
        <w:spacing w:after="0" w:line="240" w:lineRule="auto"/>
        <w:jc w:val="both"/>
        <w:rPr>
          <w:rFonts w:ascii="Times New Roman" w:eastAsia="Calibri" w:hAnsi="Times New Roman" w:cs="Times New Roman"/>
        </w:rPr>
      </w:pPr>
    </w:p>
    <w:p w14:paraId="7C4E9B17" w14:textId="77777777" w:rsidR="00E732EF" w:rsidRPr="00E732EF" w:rsidRDefault="00E732EF" w:rsidP="00E732EF">
      <w:pPr>
        <w:spacing w:after="0" w:line="240" w:lineRule="auto"/>
        <w:jc w:val="both"/>
        <w:rPr>
          <w:rFonts w:ascii="Times New Roman" w:eastAsia="Calibri" w:hAnsi="Times New Roman" w:cs="Times New Roman"/>
        </w:rPr>
      </w:pPr>
    </w:p>
    <w:p w14:paraId="6EA0B3EB" w14:textId="77777777" w:rsidR="00E732EF" w:rsidRPr="00E732EF" w:rsidRDefault="00E732EF" w:rsidP="00E732EF">
      <w:pPr>
        <w:spacing w:after="0" w:line="240" w:lineRule="auto"/>
        <w:jc w:val="both"/>
        <w:rPr>
          <w:rFonts w:ascii="Times New Roman" w:eastAsia="Calibri" w:hAnsi="Times New Roman" w:cs="Times New Roman"/>
        </w:rPr>
      </w:pPr>
    </w:p>
    <w:p w14:paraId="2623343C" w14:textId="77777777" w:rsidR="00E732EF" w:rsidRPr="00E732EF" w:rsidRDefault="00E732EF" w:rsidP="00E732EF">
      <w:pPr>
        <w:spacing w:after="0" w:line="240" w:lineRule="auto"/>
        <w:jc w:val="both"/>
        <w:rPr>
          <w:rFonts w:ascii="Times New Roman" w:eastAsia="Calibri" w:hAnsi="Times New Roman" w:cs="Times New Roman"/>
        </w:rPr>
      </w:pPr>
    </w:p>
    <w:p w14:paraId="2F97B0FF" w14:textId="77777777" w:rsidR="00E732EF" w:rsidRPr="00E732EF" w:rsidRDefault="00E732EF" w:rsidP="00E732EF">
      <w:pPr>
        <w:spacing w:after="0" w:line="240" w:lineRule="auto"/>
        <w:jc w:val="both"/>
        <w:rPr>
          <w:rFonts w:ascii="Times New Roman" w:eastAsia="Calibri" w:hAnsi="Times New Roman" w:cs="Times New Roman"/>
        </w:rPr>
      </w:pPr>
    </w:p>
    <w:p w14:paraId="696E0040" w14:textId="77777777" w:rsidR="00E732EF" w:rsidRPr="00E732EF" w:rsidRDefault="00E732EF" w:rsidP="00E732EF">
      <w:pPr>
        <w:spacing w:after="0" w:line="240" w:lineRule="auto"/>
        <w:jc w:val="both"/>
        <w:rPr>
          <w:rFonts w:ascii="Times New Roman" w:eastAsia="Calibri" w:hAnsi="Times New Roman" w:cs="Times New Roman"/>
        </w:rPr>
      </w:pPr>
    </w:p>
    <w:p w14:paraId="3C0C7A61" w14:textId="77777777" w:rsidR="00E732EF" w:rsidRPr="00E732EF" w:rsidRDefault="00E732EF" w:rsidP="00E732EF">
      <w:pPr>
        <w:spacing w:after="0" w:line="240" w:lineRule="auto"/>
        <w:jc w:val="both"/>
        <w:rPr>
          <w:rFonts w:ascii="Times New Roman" w:eastAsia="Calibri" w:hAnsi="Times New Roman" w:cs="Times New Roman"/>
        </w:rPr>
      </w:pPr>
    </w:p>
    <w:p w14:paraId="45BFC0FE" w14:textId="77777777" w:rsidR="00E732EF" w:rsidRPr="00E732EF" w:rsidRDefault="00E732EF" w:rsidP="00E732EF">
      <w:pPr>
        <w:spacing w:after="0" w:line="240" w:lineRule="auto"/>
        <w:jc w:val="both"/>
        <w:rPr>
          <w:rFonts w:ascii="Times New Roman" w:eastAsia="Calibri" w:hAnsi="Times New Roman" w:cs="Times New Roman"/>
        </w:rPr>
      </w:pPr>
    </w:p>
    <w:p w14:paraId="685B9D5F" w14:textId="77777777" w:rsidR="00E732EF" w:rsidRPr="00E732EF" w:rsidRDefault="00E732EF" w:rsidP="00E732EF">
      <w:pPr>
        <w:spacing w:after="0" w:line="240" w:lineRule="auto"/>
        <w:jc w:val="both"/>
        <w:rPr>
          <w:rFonts w:ascii="Times New Roman" w:eastAsia="Calibri" w:hAnsi="Times New Roman" w:cs="Times New Roman"/>
        </w:rPr>
      </w:pPr>
    </w:p>
    <w:p w14:paraId="1DB14232" w14:textId="77777777" w:rsidR="00E732EF" w:rsidRPr="00E732EF" w:rsidRDefault="00E732EF" w:rsidP="00E732EF">
      <w:pPr>
        <w:spacing w:after="0" w:line="240" w:lineRule="auto"/>
        <w:jc w:val="both"/>
        <w:rPr>
          <w:rFonts w:ascii="Times New Roman" w:eastAsia="Calibri" w:hAnsi="Times New Roman" w:cs="Times New Roman"/>
        </w:rPr>
      </w:pPr>
    </w:p>
    <w:p w14:paraId="3445353B"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lastRenderedPageBreak/>
        <w:t>Prilozi Plana:</w:t>
      </w:r>
    </w:p>
    <w:p w14:paraId="5E17F3B2" w14:textId="77777777" w:rsidR="00E732EF" w:rsidRPr="00E732EF" w:rsidRDefault="00E732EF" w:rsidP="00E732EF">
      <w:pPr>
        <w:spacing w:after="0" w:line="240" w:lineRule="auto"/>
        <w:jc w:val="both"/>
        <w:rPr>
          <w:rFonts w:ascii="Times New Roman" w:eastAsia="Calibri" w:hAnsi="Times New Roman" w:cs="Times New Roman"/>
        </w:rPr>
      </w:pPr>
    </w:p>
    <w:p w14:paraId="57ECD6A5" w14:textId="77777777" w:rsidR="00E732EF" w:rsidRPr="00E732EF" w:rsidRDefault="00E732EF" w:rsidP="00E732EF">
      <w:pPr>
        <w:numPr>
          <w:ilvl w:val="0"/>
          <w:numId w:val="26"/>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Prilog 1: Važeća Odluka o Povjerenstvu za procjenu šteta Općine Sveti Juraj na Bregu</w:t>
      </w:r>
    </w:p>
    <w:p w14:paraId="33F34FC2" w14:textId="77777777" w:rsidR="00E732EF" w:rsidRPr="00E732EF" w:rsidRDefault="00E732EF" w:rsidP="00E732EF">
      <w:pPr>
        <w:spacing w:after="0" w:line="240" w:lineRule="auto"/>
        <w:jc w:val="both"/>
        <w:rPr>
          <w:rFonts w:ascii="Times New Roman" w:eastAsia="Calibri" w:hAnsi="Times New Roman" w:cs="Times New Roman"/>
        </w:rPr>
      </w:pPr>
    </w:p>
    <w:p w14:paraId="18479AD3" w14:textId="77777777" w:rsidR="00E732EF" w:rsidRPr="00E732EF" w:rsidRDefault="00E732EF" w:rsidP="00E732EF">
      <w:pPr>
        <w:numPr>
          <w:ilvl w:val="0"/>
          <w:numId w:val="26"/>
        </w:numPr>
        <w:spacing w:after="0" w:line="240" w:lineRule="auto"/>
        <w:jc w:val="both"/>
        <w:rPr>
          <w:rFonts w:ascii="Times New Roman" w:eastAsia="Calibri" w:hAnsi="Times New Roman" w:cs="Times New Roman"/>
          <w:b/>
          <w:bCs/>
        </w:rPr>
      </w:pPr>
      <w:r w:rsidRPr="00E732EF">
        <w:rPr>
          <w:rFonts w:ascii="Times New Roman" w:eastAsia="Calibri" w:hAnsi="Times New Roman" w:cs="Times New Roman"/>
        </w:rPr>
        <w:t xml:space="preserve">Prilog 2: Obrazloženje za Općinsko vijeće -  </w:t>
      </w:r>
      <w:r w:rsidR="00F34021">
        <w:rPr>
          <w:rFonts w:ascii="Times New Roman" w:eastAsia="Calibri" w:hAnsi="Times New Roman" w:cs="Times New Roman"/>
          <w:b/>
          <w:bCs/>
        </w:rPr>
        <w:t>Cilj</w:t>
      </w:r>
      <w:r w:rsidRPr="00E732EF">
        <w:rPr>
          <w:rFonts w:ascii="Times New Roman" w:eastAsia="Calibri" w:hAnsi="Times New Roman" w:cs="Times New Roman"/>
          <w:b/>
          <w:bCs/>
        </w:rPr>
        <w:t xml:space="preserve"> zakonske regulative</w:t>
      </w:r>
    </w:p>
    <w:p w14:paraId="0E0B3FDC" w14:textId="77777777" w:rsidR="00E732EF" w:rsidRPr="00E732EF" w:rsidRDefault="00E732EF" w:rsidP="00E732EF">
      <w:pPr>
        <w:spacing w:after="0" w:line="240" w:lineRule="auto"/>
        <w:jc w:val="both"/>
        <w:rPr>
          <w:rFonts w:ascii="Times New Roman" w:eastAsia="Calibri" w:hAnsi="Times New Roman" w:cs="Times New Roman"/>
          <w:b/>
          <w:bCs/>
        </w:rPr>
      </w:pPr>
    </w:p>
    <w:p w14:paraId="609D9F08" w14:textId="77777777" w:rsidR="00E732EF" w:rsidRPr="00E732EF" w:rsidRDefault="00E732EF" w:rsidP="00E732EF">
      <w:pPr>
        <w:numPr>
          <w:ilvl w:val="0"/>
          <w:numId w:val="26"/>
        </w:num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Prilog 3: Osnovni obrasci i sadržaji Područja procjena šteta A – K sa pripadajućim prilozima (tablicama)</w:t>
      </w:r>
    </w:p>
    <w:p w14:paraId="19EAD405"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60D47CAF"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52C0409B"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347B5DE4"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7BCDB6A9"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1DE57280"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06664AC8"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1D4F8990"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0F5D27EA"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03D1043E"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049C75E6"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0163B4F3"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69219130"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47CBC025"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6E972B59"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3866E25A"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5E067B9F"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39C1764D"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4DE44542"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4941D449"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7D79D027"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45336DFD"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610F6CA2"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27C76802"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27EDD072"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69627656"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0162A1AE"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3FE13AEC"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3E9E37BE"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56CD4851"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1C5C3288"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180B3C7D"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021C39EA"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0FE689D2"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1A41FF88"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70F4BE66"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78393F85"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4746C3E2"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00D5849B"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1A4CD712"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10E3A030"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07851DD5"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18D61BAE"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68F0B33E"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75194F96"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670F31F7"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4CFCAFF7" w14:textId="77777777" w:rsidR="00E732EF" w:rsidRPr="00E732EF" w:rsidRDefault="00E732EF" w:rsidP="00E732EF">
      <w:pPr>
        <w:spacing w:after="0" w:line="240" w:lineRule="auto"/>
        <w:jc w:val="both"/>
        <w:rPr>
          <w:rFonts w:ascii="Times New Roman" w:eastAsia="Calibri" w:hAnsi="Times New Roman" w:cs="Times New Roman"/>
          <w:color w:val="FF0000"/>
        </w:rPr>
      </w:pPr>
    </w:p>
    <w:p w14:paraId="14F76B67"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b/>
          <w:bCs/>
        </w:rPr>
        <w:lastRenderedPageBreak/>
        <w:t>Prilog 1</w:t>
      </w:r>
      <w:r w:rsidRPr="00E732EF">
        <w:rPr>
          <w:rFonts w:ascii="Times New Roman" w:eastAsia="Calibri" w:hAnsi="Times New Roman" w:cs="Times New Roman"/>
        </w:rPr>
        <w:t>: Važeća Odluka o povjerenstvu Općine Sveti Juraj na Bregu</w:t>
      </w:r>
    </w:p>
    <w:p w14:paraId="72E00BA2" w14:textId="77777777" w:rsidR="00E732EF" w:rsidRPr="00E732EF" w:rsidRDefault="00E732EF" w:rsidP="00E732EF">
      <w:pPr>
        <w:spacing w:after="0" w:line="240" w:lineRule="auto"/>
        <w:jc w:val="both"/>
        <w:rPr>
          <w:rFonts w:ascii="Times New Roman" w:eastAsia="Calibri" w:hAnsi="Times New Roman" w:cs="Times New Roman"/>
        </w:rPr>
      </w:pPr>
    </w:p>
    <w:p w14:paraId="182B2F0E" w14:textId="6B9C4310" w:rsidR="00E732EF" w:rsidRPr="00E732EF" w:rsidRDefault="009C4DFA" w:rsidP="00E732EF">
      <w:pPr>
        <w:spacing w:after="0" w:line="240" w:lineRule="auto"/>
        <w:jc w:val="both"/>
        <w:rPr>
          <w:rFonts w:ascii="Times New Roman" w:eastAsia="Calibri" w:hAnsi="Times New Roman" w:cs="Times New Roman"/>
          <w:color w:val="FF0000"/>
        </w:rPr>
      </w:pPr>
      <w:r>
        <w:rPr>
          <w:noProof/>
        </w:rPr>
        <w:drawing>
          <wp:inline distT="0" distB="0" distL="0" distR="0" wp14:anchorId="64C5A6FC" wp14:editId="3ACD3820">
            <wp:extent cx="5760720" cy="8539480"/>
            <wp:effectExtent l="0" t="0" r="0" b="0"/>
            <wp:docPr id="289351235" name="Slika 1" descr="Slika na kojoj se prikazuje tekst, snimka zaslona, pismo, dokument&#10;&#10;Sadržaj generiran uz AI možda nije toč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351235" name="Slika 1" descr="Slika na kojoj se prikazuje tekst, snimka zaslona, pismo, dokument&#10;&#10;Sadržaj generiran uz AI možda nije točan."/>
                    <pic:cNvPicPr/>
                  </pic:nvPicPr>
                  <pic:blipFill>
                    <a:blip r:embed="rId38"/>
                    <a:stretch>
                      <a:fillRect/>
                    </a:stretch>
                  </pic:blipFill>
                  <pic:spPr>
                    <a:xfrm>
                      <a:off x="0" y="0"/>
                      <a:ext cx="5760720" cy="8539480"/>
                    </a:xfrm>
                    <a:prstGeom prst="rect">
                      <a:avLst/>
                    </a:prstGeom>
                  </pic:spPr>
                </pic:pic>
              </a:graphicData>
            </a:graphic>
          </wp:inline>
        </w:drawing>
      </w:r>
    </w:p>
    <w:p w14:paraId="3BBECC39" w14:textId="77777777" w:rsidR="009C4DFA" w:rsidRDefault="009C4DFA" w:rsidP="00E732EF">
      <w:pPr>
        <w:spacing w:after="0" w:line="240" w:lineRule="auto"/>
        <w:jc w:val="both"/>
        <w:rPr>
          <w:rFonts w:ascii="Times New Roman" w:eastAsia="Calibri" w:hAnsi="Times New Roman" w:cs="Times New Roman"/>
          <w:b/>
          <w:bCs/>
        </w:rPr>
      </w:pPr>
    </w:p>
    <w:p w14:paraId="0EC65BA1" w14:textId="52E1CE93"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b/>
          <w:bCs/>
        </w:rPr>
        <w:t>Prilog 2:</w:t>
      </w:r>
      <w:r w:rsidRPr="00E732EF">
        <w:rPr>
          <w:rFonts w:ascii="Times New Roman" w:eastAsia="Calibri" w:hAnsi="Times New Roman" w:cs="Times New Roman"/>
        </w:rPr>
        <w:t xml:space="preserve"> Obrazloženje za Općinsko vijeće -  </w:t>
      </w:r>
      <w:r w:rsidR="00F34021">
        <w:rPr>
          <w:rFonts w:ascii="Times New Roman" w:eastAsia="Calibri" w:hAnsi="Times New Roman" w:cs="Times New Roman"/>
          <w:b/>
          <w:bCs/>
        </w:rPr>
        <w:t>Cilj</w:t>
      </w:r>
      <w:r w:rsidRPr="00E732EF">
        <w:rPr>
          <w:rFonts w:ascii="Times New Roman" w:eastAsia="Calibri" w:hAnsi="Times New Roman" w:cs="Times New Roman"/>
          <w:b/>
          <w:bCs/>
        </w:rPr>
        <w:t xml:space="preserve"> zakonske regulative</w:t>
      </w:r>
    </w:p>
    <w:p w14:paraId="6AB5DBD8" w14:textId="77777777" w:rsidR="00E732EF" w:rsidRPr="00E732EF" w:rsidRDefault="00E732EF" w:rsidP="00E732EF">
      <w:pPr>
        <w:spacing w:after="0" w:line="240" w:lineRule="auto"/>
        <w:jc w:val="both"/>
        <w:rPr>
          <w:rFonts w:ascii="Times New Roman" w:eastAsia="Calibri" w:hAnsi="Times New Roman" w:cs="Times New Roman"/>
        </w:rPr>
      </w:pPr>
    </w:p>
    <w:p w14:paraId="5DBFDBB0" w14:textId="77777777" w:rsidR="00E732EF" w:rsidRPr="00E732EF" w:rsidRDefault="00E732EF" w:rsidP="00E732EF">
      <w:pPr>
        <w:spacing w:after="0" w:line="240" w:lineRule="auto"/>
        <w:jc w:val="both"/>
        <w:rPr>
          <w:rFonts w:ascii="Times New Roman" w:eastAsia="Calibri" w:hAnsi="Times New Roman" w:cs="Times New Roman"/>
          <w:sz w:val="20"/>
          <w:szCs w:val="20"/>
        </w:rPr>
      </w:pPr>
      <w:r w:rsidRPr="00E732EF">
        <w:rPr>
          <w:rFonts w:ascii="Times New Roman" w:eastAsia="Calibri" w:hAnsi="Times New Roman" w:cs="Times New Roman"/>
          <w:sz w:val="20"/>
          <w:szCs w:val="20"/>
        </w:rPr>
        <w:t>Pitanje dodjele pomoći za ublažavanje i djelomično uklanjanje posljedica prirodnih nepogoda u Republici Hrvatskoj pravno je do sada bilo uređeno Zakonom o zaštiti od elementarnih nepogoda („Narodne novine“ broj 73/97</w:t>
      </w:r>
      <w:r>
        <w:rPr>
          <w:rFonts w:ascii="Times New Roman" w:eastAsia="Calibri" w:hAnsi="Times New Roman" w:cs="Times New Roman"/>
          <w:sz w:val="20"/>
          <w:szCs w:val="20"/>
        </w:rPr>
        <w:t>.</w:t>
      </w:r>
      <w:r w:rsidRPr="00E732EF">
        <w:rPr>
          <w:rFonts w:ascii="Times New Roman" w:eastAsia="Calibri" w:hAnsi="Times New Roman" w:cs="Times New Roman"/>
          <w:sz w:val="20"/>
          <w:szCs w:val="20"/>
        </w:rPr>
        <w:t xml:space="preserve"> i 174/04</w:t>
      </w:r>
      <w:r>
        <w:rPr>
          <w:rFonts w:ascii="Times New Roman" w:eastAsia="Calibri" w:hAnsi="Times New Roman" w:cs="Times New Roman"/>
          <w:sz w:val="20"/>
          <w:szCs w:val="20"/>
        </w:rPr>
        <w:t>.</w:t>
      </w:r>
      <w:r w:rsidRPr="00E732EF">
        <w:rPr>
          <w:rFonts w:ascii="Times New Roman" w:eastAsia="Calibri" w:hAnsi="Times New Roman" w:cs="Times New Roman"/>
          <w:sz w:val="20"/>
          <w:szCs w:val="20"/>
        </w:rPr>
        <w:t xml:space="preserve">), Zakonom o zaštiti i spašavanju („Narodne novine“ broj 174/04, 79/07, 38/09 i 127/10) te Metodologijom za procjenu štete od elementarnih nepogoda („Narodne novine“ broj 96/98). </w:t>
      </w:r>
    </w:p>
    <w:p w14:paraId="245BD032" w14:textId="77777777" w:rsidR="00E732EF" w:rsidRPr="00E732EF" w:rsidRDefault="00E732EF" w:rsidP="00E732EF">
      <w:pPr>
        <w:spacing w:after="0" w:line="240" w:lineRule="auto"/>
        <w:jc w:val="both"/>
        <w:rPr>
          <w:rFonts w:ascii="Times New Roman" w:eastAsia="Calibri" w:hAnsi="Times New Roman" w:cs="Times New Roman"/>
          <w:sz w:val="20"/>
          <w:szCs w:val="20"/>
        </w:rPr>
      </w:pPr>
      <w:r w:rsidRPr="00E732EF">
        <w:rPr>
          <w:rFonts w:ascii="Times New Roman" w:eastAsia="Calibri" w:hAnsi="Times New Roman" w:cs="Times New Roman"/>
          <w:sz w:val="20"/>
          <w:szCs w:val="20"/>
        </w:rPr>
        <w:t>Dosadašnja praksa je ukazala na nužnost promjena u postojećem sustavu dodjele pomoći za nastale štete od prirodnih nepogoda. Predviđene izmjene sadržane su u Zakonu o ublažavanju i uklanjanju posljedica prirodnih nepogoda („Narodne novine“ broj 16/19</w:t>
      </w:r>
      <w:r w:rsidR="00F34021">
        <w:rPr>
          <w:rFonts w:ascii="Times New Roman" w:eastAsia="Calibri" w:hAnsi="Times New Roman" w:cs="Times New Roman"/>
          <w:sz w:val="20"/>
          <w:szCs w:val="20"/>
        </w:rPr>
        <w:t>),  kojeg je potom pratio i</w:t>
      </w:r>
      <w:r w:rsidRPr="00E732EF">
        <w:rPr>
          <w:rFonts w:ascii="Times New Roman" w:eastAsia="Calibri" w:hAnsi="Times New Roman" w:cs="Times New Roman"/>
          <w:sz w:val="20"/>
          <w:szCs w:val="20"/>
        </w:rPr>
        <w:t xml:space="preserve"> Pravilnik o registru šteta.</w:t>
      </w:r>
    </w:p>
    <w:p w14:paraId="714EDF29" w14:textId="77777777" w:rsidR="00E732EF" w:rsidRPr="00E732EF" w:rsidRDefault="00E732EF" w:rsidP="00E732EF">
      <w:pPr>
        <w:spacing w:after="0" w:line="240" w:lineRule="auto"/>
        <w:jc w:val="both"/>
        <w:rPr>
          <w:rFonts w:ascii="Times New Roman" w:eastAsia="Calibri" w:hAnsi="Times New Roman" w:cs="Times New Roman"/>
          <w:sz w:val="20"/>
          <w:szCs w:val="20"/>
        </w:rPr>
      </w:pPr>
      <w:r w:rsidRPr="00E732EF">
        <w:rPr>
          <w:rFonts w:ascii="Times New Roman" w:eastAsia="Calibri" w:hAnsi="Times New Roman" w:cs="Times New Roman"/>
          <w:sz w:val="20"/>
          <w:szCs w:val="20"/>
        </w:rPr>
        <w:t xml:space="preserve">Važna novina Zakona je uspostava </w:t>
      </w:r>
      <w:r w:rsidRPr="00E732EF">
        <w:rPr>
          <w:rFonts w:ascii="Times New Roman" w:eastAsia="Calibri" w:hAnsi="Times New Roman" w:cs="Times New Roman"/>
          <w:b/>
          <w:bCs/>
          <w:sz w:val="20"/>
          <w:szCs w:val="20"/>
        </w:rPr>
        <w:t>Registra šteta</w:t>
      </w:r>
      <w:r w:rsidRPr="00E732EF">
        <w:rPr>
          <w:rFonts w:ascii="Times New Roman" w:eastAsia="Calibri" w:hAnsi="Times New Roman" w:cs="Times New Roman"/>
          <w:sz w:val="20"/>
          <w:szCs w:val="20"/>
        </w:rPr>
        <w:t xml:space="preserve"> koji će osiguravati podatke po imenu svake fizičke i pravne osobe koja je prijavila štetu, vrsti štete i iznosu štete i takvi podaci predstavljaju prvu bazu podataka o nastalim štetama od prirodnih nepogoda. Na taj način osigurat će se informacije o vrstama šteta na pojedinom području koje će moći koristiti i ostala tijela državne uprave za različite potrebe.</w:t>
      </w:r>
    </w:p>
    <w:p w14:paraId="79D40F4B" w14:textId="77777777" w:rsidR="00E732EF" w:rsidRPr="00E732EF" w:rsidRDefault="00E732EF" w:rsidP="00E732EF">
      <w:pPr>
        <w:spacing w:after="0" w:line="240" w:lineRule="auto"/>
        <w:jc w:val="both"/>
        <w:rPr>
          <w:rFonts w:ascii="Times New Roman" w:eastAsia="Calibri" w:hAnsi="Times New Roman" w:cs="Times New Roman"/>
          <w:sz w:val="20"/>
          <w:szCs w:val="20"/>
        </w:rPr>
      </w:pPr>
      <w:r w:rsidRPr="00E732EF">
        <w:rPr>
          <w:rFonts w:ascii="Times New Roman" w:eastAsia="Calibri" w:hAnsi="Times New Roman" w:cs="Times New Roman"/>
          <w:sz w:val="20"/>
          <w:szCs w:val="20"/>
        </w:rPr>
        <w:t>Uz ostale razloge, uočena je potreba da se ovim Zakonom promijene postojeći uvjeti za dodjelu pomoći na način da se štete prijave u Registar šteta, a pomoć će biti dodijeljena ovisno o vrsti i visini oštećene imovine iz državnog proračuna Republike Hrvatske, a može se dodijeliti i iz fondova Europske unije. Pristupanjem Republike Hrvatske Europskoj uniji, Republika Hrvatska kao njena država članica ostvaruje pravo na apliciranje za dobivanje sredstava iz fondova Europske unije.</w:t>
      </w:r>
    </w:p>
    <w:p w14:paraId="575BA38F" w14:textId="77777777" w:rsidR="00E732EF" w:rsidRPr="00E732EF" w:rsidRDefault="00E732EF" w:rsidP="00E732EF">
      <w:pPr>
        <w:spacing w:after="0" w:line="240" w:lineRule="auto"/>
        <w:jc w:val="both"/>
        <w:rPr>
          <w:rFonts w:ascii="Times New Roman" w:eastAsia="Calibri" w:hAnsi="Times New Roman" w:cs="Times New Roman"/>
          <w:sz w:val="20"/>
          <w:szCs w:val="20"/>
        </w:rPr>
      </w:pPr>
      <w:r w:rsidRPr="00E732EF">
        <w:rPr>
          <w:rFonts w:ascii="Times New Roman" w:eastAsia="Calibri" w:hAnsi="Times New Roman" w:cs="Times New Roman"/>
          <w:sz w:val="20"/>
          <w:szCs w:val="20"/>
        </w:rPr>
        <w:t>Za očekivati je u budućnosti nastanak novih šteta na poljoprivrednim zemljištima, pri čemu nije moguće procijeniti razmjere nastanka istih. Iz tog razloga ovaj Zakon ne temelji se isključivo na štetama vezano uz poljoprivredu jer se nerijetko novčanim sredstvima za tu namjenu umanjuje mogućnost bilo kakvog djelovanja i raspodjelu sredstva oštećenicima kod kojih šteta nastaje u drugim oblicima, odnosno uzrokovana je poplavama, požarima, odronima zemlje i sličnim ugrozama.</w:t>
      </w:r>
    </w:p>
    <w:p w14:paraId="719E93C4" w14:textId="77777777" w:rsidR="00E732EF" w:rsidRPr="00E732EF" w:rsidRDefault="00E732EF" w:rsidP="00E732EF">
      <w:pPr>
        <w:spacing w:after="0" w:line="240" w:lineRule="auto"/>
        <w:jc w:val="both"/>
        <w:rPr>
          <w:rFonts w:ascii="Times New Roman" w:eastAsia="Calibri" w:hAnsi="Times New Roman" w:cs="Times New Roman"/>
          <w:sz w:val="20"/>
          <w:szCs w:val="20"/>
        </w:rPr>
      </w:pPr>
      <w:r w:rsidRPr="00E732EF">
        <w:rPr>
          <w:rFonts w:ascii="Times New Roman" w:eastAsia="Calibri" w:hAnsi="Times New Roman" w:cs="Times New Roman"/>
          <w:sz w:val="20"/>
          <w:szCs w:val="20"/>
        </w:rPr>
        <w:t xml:space="preserve">Zakonom o dodjeli pomoći za ublažavanje i djelomično uklanjanje posljedica prirodnih nepogoda regulira se učinkovitija dodjela sredstava pomoći jer se iz nadležnosti Državnog povjerenstva ograničavaju dodijeljena sredstava pomoći za djelomičnu sanaciju šteta u poljoprivredi do 50% ukupno planiranih sredstava za tekuću godinu, te se istodobno predviđa mogućnost da svatko od nadležnih tijela može dodijeliti sredstva pomoći za djelomičnu sanaciju šteta iz svoje nadležnosti. </w:t>
      </w:r>
    </w:p>
    <w:p w14:paraId="6B97B8D7" w14:textId="77777777" w:rsidR="00E732EF" w:rsidRPr="00E732EF" w:rsidRDefault="00E732EF" w:rsidP="00E732EF">
      <w:pPr>
        <w:spacing w:after="0" w:line="240" w:lineRule="auto"/>
        <w:jc w:val="both"/>
        <w:rPr>
          <w:rFonts w:ascii="Times New Roman" w:eastAsia="Calibri" w:hAnsi="Times New Roman" w:cs="Times New Roman"/>
          <w:sz w:val="20"/>
          <w:szCs w:val="20"/>
        </w:rPr>
      </w:pPr>
      <w:r w:rsidRPr="00E732EF">
        <w:rPr>
          <w:rFonts w:ascii="Times New Roman" w:eastAsia="Calibri" w:hAnsi="Times New Roman" w:cs="Times New Roman"/>
          <w:sz w:val="20"/>
          <w:szCs w:val="20"/>
        </w:rPr>
        <w:t xml:space="preserve">Također, ovim </w:t>
      </w:r>
      <w:r w:rsidRPr="00E732EF">
        <w:rPr>
          <w:rFonts w:ascii="Times New Roman" w:eastAsia="Calibri" w:hAnsi="Times New Roman" w:cs="Times New Roman"/>
          <w:sz w:val="20"/>
          <w:szCs w:val="20"/>
          <w:u w:val="single"/>
        </w:rPr>
        <w:t>Zakonom isključuju se oni oštećenici koji su osigurali svoju imovinu, a što je intencija usmjerena prema većoj svijesti svake fizičke ili pravne osobe o važnosti osiguranja imovine.</w:t>
      </w:r>
      <w:r w:rsidRPr="00E732EF">
        <w:rPr>
          <w:rFonts w:ascii="Times New Roman" w:eastAsia="Calibri" w:hAnsi="Times New Roman" w:cs="Times New Roman"/>
          <w:sz w:val="20"/>
          <w:szCs w:val="20"/>
        </w:rPr>
        <w:t xml:space="preserve"> </w:t>
      </w:r>
    </w:p>
    <w:p w14:paraId="369B0D03" w14:textId="77777777" w:rsidR="00E732EF" w:rsidRPr="00E732EF" w:rsidRDefault="00E732EF" w:rsidP="00E732EF">
      <w:pPr>
        <w:spacing w:after="0" w:line="240" w:lineRule="auto"/>
        <w:jc w:val="both"/>
        <w:rPr>
          <w:rFonts w:ascii="Times New Roman" w:eastAsia="Calibri" w:hAnsi="Times New Roman" w:cs="Times New Roman"/>
          <w:sz w:val="20"/>
          <w:szCs w:val="20"/>
        </w:rPr>
      </w:pPr>
      <w:r w:rsidRPr="00E732EF">
        <w:rPr>
          <w:rFonts w:ascii="Times New Roman" w:eastAsia="Calibri" w:hAnsi="Times New Roman" w:cs="Times New Roman"/>
          <w:sz w:val="20"/>
          <w:szCs w:val="20"/>
        </w:rPr>
        <w:t>Ovog trenutka moguće je utvrditi kako je postotak osiguranja imovine, poglavito u poljoprivredi, iznimno malen, te bi se takva praksa u budućnosti trebala znatnije mijenjati. Dakle, namjera je novoga Zakona u tom dijelu naglasiti potrebu da se u većoj mjeri osigurava imovina, a što bi u konačnici imalo pozitivne učinke na gospodarstvo. Naime, dodjela pomoći iz državnog proračuna nije obvezna, a s obzirom na visine iznosa koji se dodjeljuju, nije moguće stabiliziranje poslovanja oštećenika koji se bave određenim gospodarskim djelatnostima. Postojeći, uspostavljeni sustav omogućuje dodjelu državne potpore za osiguranje šteta u poljoprivredi, te Program ruralnog razvoja koji kroz dvije mjere osigurava sredstva za nadoknadu izgubljenog proizvodnog potencijala u poljoprivredi i pokriće troškova premije osiguranja usjeva, životinja i biljaka uzrokovanih različitim čimbenicima, a uključivo i rizike koje određuje  Zakon.</w:t>
      </w:r>
    </w:p>
    <w:p w14:paraId="754EFE22" w14:textId="77777777" w:rsidR="00E732EF" w:rsidRPr="00E732EF" w:rsidRDefault="00E732EF" w:rsidP="00E732EF">
      <w:pPr>
        <w:spacing w:after="0" w:line="240" w:lineRule="auto"/>
        <w:jc w:val="both"/>
        <w:rPr>
          <w:rFonts w:ascii="Times New Roman" w:eastAsia="Calibri" w:hAnsi="Times New Roman" w:cs="Times New Roman"/>
          <w:sz w:val="20"/>
          <w:szCs w:val="20"/>
        </w:rPr>
      </w:pPr>
      <w:r w:rsidRPr="00E732EF">
        <w:rPr>
          <w:rFonts w:ascii="Times New Roman" w:eastAsia="Calibri" w:hAnsi="Times New Roman" w:cs="Times New Roman"/>
          <w:sz w:val="20"/>
          <w:szCs w:val="20"/>
        </w:rPr>
        <w:t xml:space="preserve">Zakonom je propisana odgovornost gradonačelnika i općinskih načelnika za namjensko korištenje dodijeljenih sredstava pomoći, te isti upućuje na odgovornost općinskih, gradskih i županijskih povjerenstava za provedbu mjera procjene i otklanjanja posljedica prirodnih nepogoda. </w:t>
      </w:r>
    </w:p>
    <w:p w14:paraId="72785A94" w14:textId="77777777" w:rsidR="00E732EF" w:rsidRPr="00E732EF" w:rsidRDefault="00E732EF" w:rsidP="00E732EF">
      <w:pPr>
        <w:spacing w:after="0" w:line="240" w:lineRule="auto"/>
        <w:jc w:val="both"/>
        <w:rPr>
          <w:rFonts w:ascii="Times New Roman" w:eastAsia="Calibri" w:hAnsi="Times New Roman" w:cs="Times New Roman"/>
          <w:sz w:val="20"/>
          <w:szCs w:val="20"/>
        </w:rPr>
      </w:pPr>
      <w:r w:rsidRPr="00E732EF">
        <w:rPr>
          <w:rFonts w:ascii="Times New Roman" w:eastAsia="Calibri" w:hAnsi="Times New Roman" w:cs="Times New Roman"/>
          <w:sz w:val="20"/>
          <w:szCs w:val="20"/>
        </w:rPr>
        <w:t>Zakonom precizno je određeno da su sredstva dodijeljene pomoći za ublažavanje i djelomično uklanjanje posljedica od prirodnih nepogoda strogo namjenska (ne mogu se koristiti za druge namjene). Neraspoređeni višak sredstava jedinice lokalne samouprave dužne su doznačiti na račun Ministarstva financija, a samo u iznimnim slučajevima iz objektivnih razloga, za neraspoređeni višak sredstava može se tražiti od Državnog povjerenstva odobrenje za prenamjenu sredstava (koja se može odobriti samo za djelomično pokriće te štete za koju su sredstva dodijeljena).</w:t>
      </w:r>
    </w:p>
    <w:p w14:paraId="0E37E644" w14:textId="77777777" w:rsidR="00E732EF" w:rsidRPr="00E732EF" w:rsidRDefault="00E732EF" w:rsidP="00E732EF">
      <w:pPr>
        <w:spacing w:after="0" w:line="240" w:lineRule="auto"/>
        <w:jc w:val="both"/>
        <w:rPr>
          <w:rFonts w:ascii="Times New Roman" w:eastAsia="Calibri" w:hAnsi="Times New Roman" w:cs="Times New Roman"/>
          <w:sz w:val="20"/>
          <w:szCs w:val="20"/>
        </w:rPr>
      </w:pPr>
      <w:r w:rsidRPr="00E732EF">
        <w:rPr>
          <w:rFonts w:ascii="Times New Roman" w:eastAsia="Calibri" w:hAnsi="Times New Roman" w:cs="Times New Roman"/>
          <w:sz w:val="20"/>
          <w:szCs w:val="20"/>
        </w:rPr>
        <w:t>Također, Zakon ima za cilj usmjeriti davanje žurne pomoći koja je određena ugrozom zdravlja i života oštećenika, odnosno socijalnim statusom, te pomoć koja se odnosi na jedinice lokalne i područne (regionalne) samouprave u smislu davanja novčanih sredstava kako bi jedinica lokalne i područne (regionalne) samouprave mogla ubrzati sanaciju područja (poglavito javne infrastrukture) zahvaćenog prirodnom nepogodom. To su prioriteti koji su nužni za prepoznati, a koj</w:t>
      </w:r>
      <w:r w:rsidR="00201C24">
        <w:rPr>
          <w:rFonts w:ascii="Times New Roman" w:eastAsia="Calibri" w:hAnsi="Times New Roman" w:cs="Times New Roman"/>
          <w:sz w:val="20"/>
          <w:szCs w:val="20"/>
        </w:rPr>
        <w:t>ima se neće dozvoliti „osipanje“</w:t>
      </w:r>
      <w:r w:rsidRPr="00E732EF">
        <w:rPr>
          <w:rFonts w:ascii="Times New Roman" w:eastAsia="Calibri" w:hAnsi="Times New Roman" w:cs="Times New Roman"/>
          <w:sz w:val="20"/>
          <w:szCs w:val="20"/>
        </w:rPr>
        <w:t xml:space="preserve"> novčanih sredstava što je ovim Zakonom jasno propisano.</w:t>
      </w:r>
    </w:p>
    <w:p w14:paraId="118973FB" w14:textId="77777777" w:rsidR="00E732EF" w:rsidRPr="00E732EF" w:rsidRDefault="00E732EF" w:rsidP="00E732EF">
      <w:pPr>
        <w:spacing w:after="0" w:line="240" w:lineRule="auto"/>
        <w:jc w:val="both"/>
        <w:rPr>
          <w:rFonts w:ascii="Times New Roman" w:eastAsia="Calibri" w:hAnsi="Times New Roman" w:cs="Times New Roman"/>
          <w:sz w:val="20"/>
          <w:szCs w:val="20"/>
        </w:rPr>
      </w:pPr>
      <w:r w:rsidRPr="00E732EF">
        <w:rPr>
          <w:rFonts w:ascii="Times New Roman" w:eastAsia="Calibri" w:hAnsi="Times New Roman" w:cs="Times New Roman"/>
          <w:sz w:val="20"/>
          <w:szCs w:val="20"/>
        </w:rPr>
        <w:t>Zakon kao jedan od propisa koji je usmjeren djelomičnom saniranju šteta od prirodnih nepogoda ne bi trebao iziskivati znatno veće iznose od onih iskazanih, a što je i sadržano u samim načelima kojima je namjera u još većoj mjeri umanjiti gubitke i financijsku štetu pravnih i fizičkih osoba, jer je namjera potaknuti osiguranje imovine što u konačnici pozitivno djeluje na umanjenje gospodarske štete kao posljedice djelovanja prirodnih nepogoda.</w:t>
      </w:r>
    </w:p>
    <w:p w14:paraId="61331D47" w14:textId="77777777" w:rsidR="00E732EF" w:rsidRPr="00E732EF" w:rsidRDefault="00E732EF" w:rsidP="00E732EF">
      <w:pPr>
        <w:spacing w:after="0" w:line="240" w:lineRule="auto"/>
        <w:jc w:val="both"/>
        <w:rPr>
          <w:rFonts w:ascii="Times New Roman" w:eastAsia="Calibri" w:hAnsi="Times New Roman" w:cs="Times New Roman"/>
        </w:rPr>
      </w:pPr>
    </w:p>
    <w:p w14:paraId="00F7165F"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b/>
          <w:bCs/>
        </w:rPr>
        <w:t>Prilog 3</w:t>
      </w:r>
      <w:r w:rsidRPr="00E732EF">
        <w:rPr>
          <w:rFonts w:ascii="Times New Roman" w:eastAsia="Calibri" w:hAnsi="Times New Roman" w:cs="Times New Roman"/>
        </w:rPr>
        <w:t>: Osnovni obrasci i sadržaji Područja procjena šteta A – K sa pripadajućim prilozima (tablicama)</w:t>
      </w:r>
    </w:p>
    <w:p w14:paraId="2221EB5E" w14:textId="77777777" w:rsidR="00E732EF" w:rsidRPr="00E732EF" w:rsidRDefault="00E732EF" w:rsidP="00E732EF">
      <w:pPr>
        <w:spacing w:after="0" w:line="240" w:lineRule="auto"/>
        <w:rPr>
          <w:rFonts w:ascii="Calibri" w:eastAsia="Calibri" w:hAnsi="Calibri" w:cs="Times New Roman"/>
        </w:rPr>
      </w:pPr>
    </w:p>
    <w:p w14:paraId="0A4F391D" w14:textId="77777777" w:rsidR="00E732EF" w:rsidRPr="00E732EF" w:rsidRDefault="00E732EF" w:rsidP="00E732EF">
      <w:pPr>
        <w:spacing w:after="0" w:line="240" w:lineRule="auto"/>
        <w:jc w:val="center"/>
        <w:rPr>
          <w:rFonts w:ascii="Times New Roman" w:eastAsia="Calibri" w:hAnsi="Times New Roman" w:cs="Times New Roman"/>
          <w:b/>
          <w:bCs/>
        </w:rPr>
      </w:pPr>
      <w:r w:rsidRPr="00E732EF">
        <w:rPr>
          <w:rFonts w:ascii="Times New Roman" w:eastAsia="Calibri" w:hAnsi="Times New Roman" w:cs="Times New Roman"/>
          <w:b/>
          <w:bCs/>
        </w:rPr>
        <w:t>Osnovni obrasci iz Pravilnika o registru šteta od prirodnih nepogoda</w:t>
      </w:r>
    </w:p>
    <w:p w14:paraId="1C4EC2D9" w14:textId="77777777" w:rsidR="00E732EF" w:rsidRPr="00E732EF" w:rsidRDefault="00E732EF" w:rsidP="00E732EF">
      <w:pPr>
        <w:jc w:val="center"/>
        <w:rPr>
          <w:rFonts w:ascii="Calibri" w:eastAsia="Calibri" w:hAnsi="Calibri" w:cs="Arial"/>
        </w:rPr>
      </w:pPr>
      <w:r>
        <w:rPr>
          <w:rFonts w:ascii="Calibri" w:eastAsia="Calibri" w:hAnsi="Calibri" w:cs="Arial"/>
          <w:noProof/>
          <w:lang w:eastAsia="hr-HR"/>
        </w:rPr>
        <w:drawing>
          <wp:inline distT="0" distB="0" distL="0" distR="0" wp14:anchorId="5573FE7B" wp14:editId="5DF68E39">
            <wp:extent cx="4451350" cy="2277110"/>
            <wp:effectExtent l="0" t="0" r="6350" b="8890"/>
            <wp:docPr id="6" name="Slika 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451350" cy="2277110"/>
                    </a:xfrm>
                    <a:prstGeom prst="rect">
                      <a:avLst/>
                    </a:prstGeom>
                    <a:noFill/>
                    <a:ln>
                      <a:noFill/>
                    </a:ln>
                  </pic:spPr>
                </pic:pic>
              </a:graphicData>
            </a:graphic>
          </wp:inline>
        </w:drawing>
      </w:r>
    </w:p>
    <w:p w14:paraId="1495CE99" w14:textId="77777777" w:rsidR="00E732EF" w:rsidRPr="00E732EF" w:rsidRDefault="00E732EF" w:rsidP="00E732EF">
      <w:pPr>
        <w:spacing w:after="0" w:line="240" w:lineRule="auto"/>
        <w:jc w:val="center"/>
        <w:rPr>
          <w:rFonts w:ascii="Calibri" w:eastAsia="Calibri" w:hAnsi="Calibri" w:cs="Times New Roman"/>
        </w:rPr>
      </w:pPr>
      <w:r>
        <w:rPr>
          <w:rFonts w:ascii="Calibri" w:eastAsia="Calibri" w:hAnsi="Calibri" w:cs="Times New Roman"/>
          <w:noProof/>
          <w:lang w:eastAsia="hr-HR"/>
        </w:rPr>
        <w:drawing>
          <wp:inline distT="0" distB="0" distL="0" distR="0" wp14:anchorId="56BAFCDE" wp14:editId="5E83BA85">
            <wp:extent cx="4373880" cy="3140075"/>
            <wp:effectExtent l="0" t="0" r="7620" b="3175"/>
            <wp:docPr id="5" name="Slika 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373880" cy="3140075"/>
                    </a:xfrm>
                    <a:prstGeom prst="rect">
                      <a:avLst/>
                    </a:prstGeom>
                    <a:noFill/>
                    <a:ln>
                      <a:noFill/>
                    </a:ln>
                  </pic:spPr>
                </pic:pic>
              </a:graphicData>
            </a:graphic>
          </wp:inline>
        </w:drawing>
      </w:r>
    </w:p>
    <w:p w14:paraId="5223718D" w14:textId="77777777" w:rsidR="00E732EF" w:rsidRPr="00E732EF" w:rsidRDefault="00E732EF" w:rsidP="00E732EF">
      <w:pPr>
        <w:jc w:val="center"/>
        <w:rPr>
          <w:rFonts w:ascii="Calibri" w:eastAsia="Calibri" w:hAnsi="Calibri" w:cs="Arial"/>
        </w:rPr>
      </w:pPr>
      <w:r>
        <w:rPr>
          <w:rFonts w:ascii="Calibri" w:eastAsia="Calibri" w:hAnsi="Calibri" w:cs="Arial"/>
          <w:noProof/>
          <w:lang w:eastAsia="hr-HR"/>
        </w:rPr>
        <w:lastRenderedPageBreak/>
        <w:drawing>
          <wp:inline distT="0" distB="0" distL="0" distR="0" wp14:anchorId="7E977367" wp14:editId="133336A0">
            <wp:extent cx="4295775" cy="2562225"/>
            <wp:effectExtent l="0" t="0" r="9525" b="9525"/>
            <wp:docPr id="4" name="Slika 4" descr="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2a"/>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295775" cy="2562225"/>
                    </a:xfrm>
                    <a:prstGeom prst="rect">
                      <a:avLst/>
                    </a:prstGeom>
                    <a:noFill/>
                    <a:ln>
                      <a:noFill/>
                    </a:ln>
                  </pic:spPr>
                </pic:pic>
              </a:graphicData>
            </a:graphic>
          </wp:inline>
        </w:drawing>
      </w:r>
    </w:p>
    <w:p w14:paraId="34C805A1" w14:textId="77777777" w:rsidR="00E732EF" w:rsidRPr="00E732EF" w:rsidRDefault="00E732EF" w:rsidP="00E732EF">
      <w:pPr>
        <w:spacing w:after="0" w:line="240" w:lineRule="auto"/>
        <w:jc w:val="center"/>
        <w:rPr>
          <w:rFonts w:ascii="Times New Roman" w:eastAsia="Calibri" w:hAnsi="Times New Roman" w:cs="Times New Roman"/>
          <w:b/>
          <w:bCs/>
        </w:rPr>
      </w:pPr>
      <w:r>
        <w:rPr>
          <w:rFonts w:ascii="Times New Roman" w:eastAsia="Calibri" w:hAnsi="Times New Roman" w:cs="Times New Roman"/>
          <w:b/>
          <w:bCs/>
          <w:noProof/>
          <w:lang w:eastAsia="hr-HR"/>
        </w:rPr>
        <w:drawing>
          <wp:inline distT="0" distB="0" distL="0" distR="0" wp14:anchorId="2EC34383" wp14:editId="1401B296">
            <wp:extent cx="4856480" cy="3959225"/>
            <wp:effectExtent l="0" t="0" r="1270" b="3175"/>
            <wp:docPr id="3" name="Slika 3"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856480" cy="3959225"/>
                    </a:xfrm>
                    <a:prstGeom prst="rect">
                      <a:avLst/>
                    </a:prstGeom>
                    <a:noFill/>
                    <a:ln>
                      <a:noFill/>
                    </a:ln>
                  </pic:spPr>
                </pic:pic>
              </a:graphicData>
            </a:graphic>
          </wp:inline>
        </w:drawing>
      </w:r>
    </w:p>
    <w:p w14:paraId="788CB3B9" w14:textId="77777777" w:rsidR="00E732EF" w:rsidRPr="00E732EF" w:rsidRDefault="00E732EF" w:rsidP="00E732EF">
      <w:pPr>
        <w:spacing w:after="0" w:line="240" w:lineRule="auto"/>
        <w:jc w:val="both"/>
        <w:rPr>
          <w:rFonts w:ascii="Times New Roman" w:eastAsia="Calibri" w:hAnsi="Times New Roman" w:cs="Times New Roman"/>
          <w:b/>
          <w:bCs/>
        </w:rPr>
      </w:pPr>
    </w:p>
    <w:p w14:paraId="48D7AFED" w14:textId="77777777" w:rsidR="00E732EF" w:rsidRPr="00E732EF" w:rsidRDefault="00E732EF" w:rsidP="00E732EF">
      <w:pPr>
        <w:spacing w:after="0" w:line="240" w:lineRule="auto"/>
        <w:jc w:val="both"/>
        <w:rPr>
          <w:rFonts w:ascii="Times New Roman" w:eastAsia="Calibri" w:hAnsi="Times New Roman" w:cs="Times New Roman"/>
          <w:b/>
          <w:bCs/>
        </w:rPr>
      </w:pPr>
    </w:p>
    <w:p w14:paraId="1584EA59"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b/>
          <w:bCs/>
        </w:rPr>
        <w:t>A – Procjena štete na građevinama</w:t>
      </w:r>
      <w:r w:rsidRPr="00E732EF">
        <w:rPr>
          <w:rFonts w:ascii="Times New Roman" w:eastAsia="Calibri" w:hAnsi="Times New Roman" w:cs="Times New Roman"/>
        </w:rPr>
        <w:t xml:space="preserve"> (Čl.6 Pravilnika)</w:t>
      </w:r>
    </w:p>
    <w:p w14:paraId="271F043E" w14:textId="77777777" w:rsidR="00E732EF" w:rsidRPr="00E732EF" w:rsidRDefault="00E732EF" w:rsidP="00E732EF">
      <w:pPr>
        <w:spacing w:after="0" w:line="240" w:lineRule="auto"/>
        <w:jc w:val="both"/>
        <w:rPr>
          <w:rFonts w:ascii="Times New Roman" w:eastAsia="Calibri" w:hAnsi="Times New Roman" w:cs="Times New Roman"/>
        </w:rPr>
      </w:pPr>
    </w:p>
    <w:p w14:paraId="6BF282EE"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(1) Šteta od prirodne nepogode na g</w:t>
      </w:r>
      <w:r w:rsidR="00293F85">
        <w:rPr>
          <w:rFonts w:ascii="Times New Roman" w:eastAsia="Calibri" w:hAnsi="Times New Roman" w:cs="Times New Roman"/>
        </w:rPr>
        <w:t>rađevini procjenjuje se u EUR</w:t>
      </w:r>
      <w:r w:rsidRPr="00E732EF">
        <w:rPr>
          <w:rFonts w:ascii="Times New Roman" w:eastAsia="Calibri" w:hAnsi="Times New Roman" w:cs="Times New Roman"/>
        </w:rPr>
        <w:t xml:space="preserve"> po formuli:</w:t>
      </w:r>
    </w:p>
    <w:p w14:paraId="5195DE72"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Š = C · A · P · E</w:t>
      </w:r>
    </w:p>
    <w:p w14:paraId="7D838A29"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gdje je:</w:t>
      </w:r>
    </w:p>
    <w:p w14:paraId="3A58436D"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C važeća tržišna cijena (samo troškovi građenja) nove građevine po jedinici mjere (m3, m2, m1)</w:t>
      </w:r>
    </w:p>
    <w:p w14:paraId="671F823D"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A veličina građevine izražena u m3, m2 ili m1</w:t>
      </w:r>
    </w:p>
    <w:p w14:paraId="3ED44F9A"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 oštećenje građevine kao cjeline koje se izražava brojevima od 0,0 do 1,0 u koracima po 0,10. Za potpuno uništenu građevinu oštećenje je P=1,00.</w:t>
      </w:r>
    </w:p>
    <w:p w14:paraId="71FEA0EE"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E koeficijent istrošenosti građevine (Prilog 3)</w:t>
      </w:r>
    </w:p>
    <w:p w14:paraId="5070D06F"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lastRenderedPageBreak/>
        <w:t>(2) Veličina građevine (A) iz stavka 1. ovoga članka određuje se za jedinicu mjere koja je primjerena utvrđenoj cijeni, npr. za neto površinu, za dužni metar, za kubni metar i sl.</w:t>
      </w:r>
    </w:p>
    <w:p w14:paraId="12F9037A"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Kod stambenih i poslovnih zgrada izračunava se bruto površina, kako bi se dobila neto površina koja je rezultat umnoška bruto površine s koeficijentom K (prilog 4)</w:t>
      </w:r>
    </w:p>
    <w:p w14:paraId="760707EE"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(3) Oštećenje »P« iz stavka 1. ovoga članka utvrđuje općinsko odnosno gradsko povjerenstvo pregledom oštećene građevine.</w:t>
      </w:r>
    </w:p>
    <w:p w14:paraId="06C8208A"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(4) Osim navedenom formulom iz stavka 1. ovoga članka, šteta se može procijeniti i primjenom troškovničke metode, tj. izradom troškovnika radova potrebnih za dovođenje građevine u stanje prije nepogode.</w:t>
      </w:r>
    </w:p>
    <w:p w14:paraId="4694F0F9"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(5) Za pojedi</w:t>
      </w:r>
      <w:r w:rsidR="00F34021">
        <w:rPr>
          <w:rFonts w:ascii="Times New Roman" w:eastAsia="Calibri" w:hAnsi="Times New Roman" w:cs="Times New Roman"/>
        </w:rPr>
        <w:t>načnu štetu veću od 26.544,56 EUR</w:t>
      </w:r>
      <w:r w:rsidRPr="00E732EF">
        <w:rPr>
          <w:rFonts w:ascii="Times New Roman" w:eastAsia="Calibri" w:hAnsi="Times New Roman" w:cs="Times New Roman"/>
        </w:rPr>
        <w:t xml:space="preserve"> potrebno je dostaviti fotodokumentaciju oštećene građevine.</w:t>
      </w:r>
    </w:p>
    <w:p w14:paraId="5AED6C0E" w14:textId="77777777" w:rsidR="00E732EF" w:rsidRPr="00E732EF" w:rsidRDefault="00E732EF" w:rsidP="00E732EF">
      <w:pPr>
        <w:rPr>
          <w:rFonts w:ascii="Calibri" w:eastAsia="Calibri" w:hAnsi="Calibri" w:cs="Arial"/>
        </w:rPr>
      </w:pPr>
      <w:r>
        <w:rPr>
          <w:rFonts w:ascii="Calibri" w:eastAsia="Calibri" w:hAnsi="Calibri" w:cs="Arial"/>
          <w:noProof/>
          <w:lang w:eastAsia="hr-HR"/>
        </w:rPr>
        <w:drawing>
          <wp:inline distT="0" distB="0" distL="0" distR="0" wp14:anchorId="202CEE99" wp14:editId="76CA2FB5">
            <wp:extent cx="4494530" cy="4037330"/>
            <wp:effectExtent l="0" t="0" r="1270" b="1270"/>
            <wp:docPr id="2" name="Slika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494530" cy="4037330"/>
                    </a:xfrm>
                    <a:prstGeom prst="rect">
                      <a:avLst/>
                    </a:prstGeom>
                    <a:noFill/>
                    <a:ln>
                      <a:noFill/>
                    </a:ln>
                  </pic:spPr>
                </pic:pic>
              </a:graphicData>
            </a:graphic>
          </wp:inline>
        </w:drawing>
      </w:r>
    </w:p>
    <w:p w14:paraId="615728A1"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b/>
          <w:bCs/>
        </w:rPr>
        <w:t>B – Procjena štete na opremi</w:t>
      </w:r>
      <w:r w:rsidRPr="00E732EF">
        <w:rPr>
          <w:rFonts w:ascii="Times New Roman" w:eastAsia="Calibri" w:hAnsi="Times New Roman" w:cs="Times New Roman"/>
        </w:rPr>
        <w:t xml:space="preserve"> (Čl.7 Pravilnika)</w:t>
      </w:r>
    </w:p>
    <w:p w14:paraId="67BE96A1" w14:textId="77777777" w:rsidR="00E732EF" w:rsidRPr="00E732EF" w:rsidRDefault="00E732EF" w:rsidP="00E732EF">
      <w:pPr>
        <w:spacing w:after="0" w:line="240" w:lineRule="auto"/>
        <w:rPr>
          <w:rFonts w:ascii="Calibri" w:eastAsia="Calibri" w:hAnsi="Calibri" w:cs="Times New Roman"/>
          <w:sz w:val="16"/>
          <w:szCs w:val="16"/>
        </w:rPr>
      </w:pPr>
    </w:p>
    <w:p w14:paraId="15A59F25"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(1) Šteta n</w:t>
      </w:r>
      <w:r w:rsidR="00293F85">
        <w:rPr>
          <w:rFonts w:ascii="Times New Roman" w:eastAsia="Calibri" w:hAnsi="Times New Roman" w:cs="Times New Roman"/>
        </w:rPr>
        <w:t>a opremi procjenjuje se u EUR</w:t>
      </w:r>
      <w:r w:rsidRPr="00E732EF">
        <w:rPr>
          <w:rFonts w:ascii="Times New Roman" w:eastAsia="Calibri" w:hAnsi="Times New Roman" w:cs="Times New Roman"/>
        </w:rPr>
        <w:t xml:space="preserve"> po formuli:</w:t>
      </w:r>
    </w:p>
    <w:p w14:paraId="0DD6FD33"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Š = C · E · P</w:t>
      </w:r>
    </w:p>
    <w:p w14:paraId="0BBC4E32"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gdje je:</w:t>
      </w:r>
    </w:p>
    <w:p w14:paraId="52107E46"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C nabavna maloprodajna cijena nove opreme</w:t>
      </w:r>
    </w:p>
    <w:p w14:paraId="5DC9206A"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E koeficijent istrošenosti opreme u vrijeme nastanka prirodne nepogode (Prilog 5).</w:t>
      </w:r>
    </w:p>
    <w:p w14:paraId="07ED6C4F"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 oštećenje opreme koje se izražava brojevima od 0,0 do 1,0. Za potpuno uništenu opremu oštećenje je P=1,00.</w:t>
      </w:r>
    </w:p>
    <w:p w14:paraId="3A60D875"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(2) Pri određivanju nabavne cijene (C) iz stavka 1. ovoga članka dopušteno je uzeti cijenu najsličnije opreme približno jednakih tehničkih svojstava.</w:t>
      </w:r>
    </w:p>
    <w:p w14:paraId="305CDE77"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(3) Vijek trajanja opreme i koeficijent istrošenosti (E) iz stavka 1. ovoga članka procjenjuje općinsko/gradsko povjerenstvo.</w:t>
      </w:r>
    </w:p>
    <w:p w14:paraId="75CF4C86"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(4) Oštećenje »P« iz stavka 1. ovoga članka procjenjuje općinsko odnosno gradsko povjerenstvo pregledom oštećene opreme.</w:t>
      </w:r>
    </w:p>
    <w:p w14:paraId="2CB7B3F5"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(5) Osim formulom iz stavka 1. ovoga članka, šteta se može procijeniti i primjenom troškovničke metode, tj. izradom troškovnika radova potrebnih za dovođenje opreme u stanje prije nepogode.</w:t>
      </w:r>
    </w:p>
    <w:p w14:paraId="1E7F7A79" w14:textId="77777777" w:rsidR="00E732EF" w:rsidRPr="00E732EF" w:rsidRDefault="00E732EF" w:rsidP="00E732EF">
      <w:pPr>
        <w:spacing w:after="0" w:line="240" w:lineRule="auto"/>
        <w:jc w:val="both"/>
        <w:rPr>
          <w:rFonts w:ascii="Calibri" w:eastAsia="Calibri" w:hAnsi="Calibri" w:cs="Times New Roman"/>
        </w:rPr>
      </w:pPr>
      <w:r w:rsidRPr="00E732EF">
        <w:rPr>
          <w:rFonts w:ascii="Times New Roman" w:eastAsia="Calibri" w:hAnsi="Times New Roman" w:cs="Times New Roman"/>
        </w:rPr>
        <w:t>(6) Istovrsna oprema procjenjuje se navođenjem broja istovrsnih komada</w:t>
      </w:r>
      <w:r w:rsidRPr="00E732EF">
        <w:rPr>
          <w:rFonts w:ascii="Calibri" w:eastAsia="Calibri" w:hAnsi="Calibri" w:cs="Times New Roman"/>
        </w:rPr>
        <w:t>.</w:t>
      </w:r>
    </w:p>
    <w:p w14:paraId="1B8A3DD7" w14:textId="77777777" w:rsidR="00E732EF" w:rsidRPr="00E732EF" w:rsidRDefault="00E732EF" w:rsidP="00E732EF">
      <w:pPr>
        <w:rPr>
          <w:rFonts w:ascii="Calibri" w:eastAsia="Calibri" w:hAnsi="Calibri" w:cs="Arial"/>
        </w:rPr>
      </w:pPr>
      <w:r>
        <w:rPr>
          <w:rFonts w:ascii="Calibri" w:eastAsia="Calibri" w:hAnsi="Calibri" w:cs="Arial"/>
          <w:noProof/>
          <w:lang w:eastAsia="hr-HR"/>
        </w:rPr>
        <w:lastRenderedPageBreak/>
        <w:drawing>
          <wp:inline distT="0" distB="0" distL="0" distR="0" wp14:anchorId="45952193" wp14:editId="0535D0C2">
            <wp:extent cx="5115560" cy="1354455"/>
            <wp:effectExtent l="0" t="0" r="8890" b="0"/>
            <wp:docPr id="1" name="Slika 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115560" cy="1354455"/>
                    </a:xfrm>
                    <a:prstGeom prst="rect">
                      <a:avLst/>
                    </a:prstGeom>
                    <a:noFill/>
                    <a:ln>
                      <a:noFill/>
                    </a:ln>
                  </pic:spPr>
                </pic:pic>
              </a:graphicData>
            </a:graphic>
          </wp:inline>
        </w:drawing>
      </w:r>
    </w:p>
    <w:p w14:paraId="21731854" w14:textId="77777777" w:rsidR="00E732EF" w:rsidRPr="00E732EF" w:rsidRDefault="00E732EF" w:rsidP="00E732EF">
      <w:pPr>
        <w:rPr>
          <w:rFonts w:ascii="Times New Roman" w:eastAsia="Calibri" w:hAnsi="Times New Roman" w:cs="Times New Roman"/>
          <w:b/>
          <w:bCs/>
        </w:rPr>
      </w:pPr>
    </w:p>
    <w:p w14:paraId="57792355" w14:textId="77777777" w:rsidR="00E732EF" w:rsidRPr="00E732EF" w:rsidRDefault="00E732EF" w:rsidP="00E732EF">
      <w:pPr>
        <w:rPr>
          <w:rFonts w:ascii="Calibri" w:eastAsia="Calibri" w:hAnsi="Calibri" w:cs="Arial"/>
        </w:rPr>
      </w:pPr>
      <w:r w:rsidRPr="00E732EF">
        <w:rPr>
          <w:rFonts w:ascii="Times New Roman" w:eastAsia="Calibri" w:hAnsi="Times New Roman" w:cs="Times New Roman"/>
          <w:b/>
          <w:bCs/>
        </w:rPr>
        <w:t>C – Procjena štete na zemljištima</w:t>
      </w:r>
      <w:r w:rsidRPr="00E732EF">
        <w:rPr>
          <w:rFonts w:ascii="Times New Roman" w:eastAsia="Calibri" w:hAnsi="Times New Roman" w:cs="Times New Roman"/>
        </w:rPr>
        <w:t xml:space="preserve"> (Čl.8 Pravilnika)</w:t>
      </w:r>
    </w:p>
    <w:p w14:paraId="5D4D6565"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(1) Šteta se procjenjuje za poljoprivredno, građevinsko i šumsko zemljište.</w:t>
      </w:r>
    </w:p>
    <w:p w14:paraId="7D37B4A5"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(2) Prirodne nepogode mogu uzrokovati privremeno ili trajno onesposobljavanje zemljišta.</w:t>
      </w:r>
    </w:p>
    <w:p w14:paraId="5D1A1FCA"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(3) Privremeno onesposobljeno odnosno degradirano ili onečišćeno poljoprivredno zemljište je ono zemljište koje se dodatnim ulaganjima može obnoviti za namjenu kojoj je služilo prije nastanka oštećenja.</w:t>
      </w:r>
    </w:p>
    <w:p w14:paraId="4E428058"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(4) Trajno onesposobljeno poljoprivredno zemljište je ono zemljište kojem je uništen gornji sloj tla sve do geološke podloge ili koje je onečišćeno štetnim tvarima koje se ne mogu poznatim stručnim postupcima odstraniti ili za koje je postupak revitalizacije zemljišta preskup.</w:t>
      </w:r>
    </w:p>
    <w:p w14:paraId="68428263"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(5) Za privremeno onesposobljeno poljoprivredno zemljište iz ovoga članka, iznos štete jednak je ukupnim troškovima materijalnih ulaganja i radova potrebnih da se navedeno zemljište dovede u približno prvobitno stanje. Kao dokaz potrebno je osigurati stručnu elaboraciju uz detaljan troškovnik ulaganja i radova. Tako utvrđena šteta ne smije biti veća od štete za trajno uništeno zemljište.</w:t>
      </w:r>
    </w:p>
    <w:p w14:paraId="5A9108AC"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(6) Iznos štete za trajno onesposobljeno poljoprivredno zemljište iz ovoga članka, obračunava se na način da se utvrdi kategorija, bonitetna klasa i površina u hektarima, te pomnoži s odgovarajućim važećim tržišnim cijenama uzgajanih kultura u prethodnoj godini.</w:t>
      </w:r>
    </w:p>
    <w:p w14:paraId="0906A03B"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(7) Podjela građevinskog zemljišta iz ovoga članka u skupine (zone) za koje se koriste različite cijene, mora biti definirana aktom županije prije nastanka prirodne nepogode. Ako takve podjele nema, primjenjuju se važeće tržišne cijene građevinskog zemljišta.</w:t>
      </w:r>
    </w:p>
    <w:p w14:paraId="5E3DA091"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(8) Procjena štete na šumskom zemljištu iz ovoga članka vrši se po istome načelu kao i procjena štete na poljoprivrednom zemljištu.</w:t>
      </w:r>
    </w:p>
    <w:p w14:paraId="7D45D029" w14:textId="77777777" w:rsidR="00E732EF" w:rsidRPr="00E732EF" w:rsidRDefault="00E732EF" w:rsidP="00E732EF">
      <w:pPr>
        <w:spacing w:after="0" w:line="240" w:lineRule="auto"/>
        <w:rPr>
          <w:rFonts w:ascii="Calibri" w:eastAsia="Calibri" w:hAnsi="Calibri" w:cs="Times New Roman"/>
        </w:rPr>
      </w:pPr>
    </w:p>
    <w:p w14:paraId="7A4FADE7" w14:textId="77777777" w:rsidR="00E732EF" w:rsidRPr="00E732EF" w:rsidRDefault="00E732EF" w:rsidP="00E732EF">
      <w:pPr>
        <w:rPr>
          <w:rFonts w:ascii="Calibri" w:eastAsia="Calibri" w:hAnsi="Calibri" w:cs="Arial"/>
        </w:rPr>
      </w:pPr>
      <w:r w:rsidRPr="00E732EF">
        <w:rPr>
          <w:rFonts w:ascii="Times New Roman" w:eastAsia="Calibri" w:hAnsi="Times New Roman" w:cs="Times New Roman"/>
          <w:b/>
          <w:bCs/>
        </w:rPr>
        <w:t>D – Procjena štete na šumama</w:t>
      </w:r>
      <w:r w:rsidRPr="00E732EF">
        <w:rPr>
          <w:rFonts w:ascii="Times New Roman" w:eastAsia="Calibri" w:hAnsi="Times New Roman" w:cs="Times New Roman"/>
        </w:rPr>
        <w:t xml:space="preserve"> (Čl.9 Pravilnika)</w:t>
      </w:r>
    </w:p>
    <w:p w14:paraId="5DCF5E3E"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(1) Za procjenu štete na šumama uzimaju se u obzir samo one šume koje se nalaze na katastarskim česticama na kojima je katastarska kultura šuma.</w:t>
      </w:r>
    </w:p>
    <w:p w14:paraId="775F5CF1"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(2) Kod procjene štete od elementarnih nepogoda na šumama najprije treba utvrditi površine pod bjelogoričnom i crnogoričnom šumom po vrstama drveća u hektarima, a zatim drvnu masu razvrstanu na tehničko i ogrjevno drvo oštećenih odnosno uništenih šumskih sastojina.</w:t>
      </w:r>
    </w:p>
    <w:p w14:paraId="207D8363"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(3) Vrijednost drvne mase iz stavka 2. ovoga članka obračunava se po cjeniku Hrvatskih šuma d.o.o. za drvnu masu stabala na panju (bez PDV-a) koji je trenutno važeći u vrijeme proglašenja prirodne nepogode (cjenik glavnih šumskih proizvoda). Iznos te štete unosi se u Registar šteta u obrazac »Šteta od prirodne nepogode na oštećenim i uništenim šumama« na način da se utvrđena ukupna vrijednost drvne mase pomnoži s faktorom oštećenja »P« čime se ukupna vrijednost oštećene i uništene drvne mase umanjuje za iskorištenu drvnu masu.</w:t>
      </w:r>
    </w:p>
    <w:p w14:paraId="0A262DEE"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(4) Oštećenje »P« utvrđuje se pregledom oštećene šume. Oštećenje se izražava brojevima od 0,0 do 1,0 u koracima po 0,10. Za potpuno uništenu drvnu masu, odnosno kada nema drvne mase za iskorištenje, oštećenje je P=1,00.</w:t>
      </w:r>
    </w:p>
    <w:p w14:paraId="75BCC971"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(5) Štete na novopodignutim šumskim sastojinama za prvi dobni razred do 20 godina starosti utvrđuje se metodom troškova podizanja sastojina po hektaru. Iznos te štete unosi se u Registar šteta u obrazac »Šteta od prirodne nepogode na novopodignutim šumskim sastojinama« na način da se utvrđena vrijednost podizanja sastojina pomnoži s faktorom oštećenja »P« čime se vrijednost podizanja </w:t>
      </w:r>
      <w:r w:rsidRPr="00E732EF">
        <w:rPr>
          <w:rFonts w:ascii="Times New Roman" w:eastAsia="Calibri" w:hAnsi="Times New Roman" w:cs="Times New Roman"/>
        </w:rPr>
        <w:lastRenderedPageBreak/>
        <w:t>umanjuje za postotak sastojine koji nije oštećen. Vrijednost podizanja sastojine obračunava se po važećem šumsko – odštetnom cjeniku.</w:t>
      </w:r>
    </w:p>
    <w:p w14:paraId="6688E6EA"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(6) Oštećenje »P« utvrđuje se pregledom oštećene sastojine. Oštećenje se izražava brojevima od 0,0 do 1,0 u koracima po 0,10. Kad je novopodignuta sastojina u potpunosti uništena, oštećenje je P=1,0.</w:t>
      </w:r>
    </w:p>
    <w:p w14:paraId="2D0F8A62" w14:textId="77777777" w:rsidR="00E732EF" w:rsidRPr="00E732EF" w:rsidRDefault="00E732EF" w:rsidP="00E732EF">
      <w:pPr>
        <w:spacing w:after="0" w:line="240" w:lineRule="auto"/>
        <w:rPr>
          <w:rFonts w:ascii="Calibri" w:eastAsia="Calibri" w:hAnsi="Calibri" w:cs="Times New Roman"/>
        </w:rPr>
      </w:pPr>
    </w:p>
    <w:p w14:paraId="483C903E" w14:textId="77777777" w:rsidR="00E732EF" w:rsidRPr="00E732EF" w:rsidRDefault="00E732EF" w:rsidP="00E732EF">
      <w:pPr>
        <w:rPr>
          <w:rFonts w:ascii="Calibri" w:eastAsia="Calibri" w:hAnsi="Calibri" w:cs="Arial"/>
        </w:rPr>
      </w:pPr>
      <w:r w:rsidRPr="00E732EF">
        <w:rPr>
          <w:rFonts w:ascii="Times New Roman" w:eastAsia="Calibri" w:hAnsi="Times New Roman" w:cs="Times New Roman"/>
          <w:b/>
          <w:bCs/>
        </w:rPr>
        <w:t xml:space="preserve">E – Procjena štete u poljoprivredi </w:t>
      </w:r>
      <w:r w:rsidRPr="00E732EF">
        <w:rPr>
          <w:rFonts w:ascii="Times New Roman" w:eastAsia="Calibri" w:hAnsi="Times New Roman" w:cs="Times New Roman"/>
        </w:rPr>
        <w:t xml:space="preserve"> (Čl.10 Pravilnika)</w:t>
      </w:r>
    </w:p>
    <w:p w14:paraId="56766EAB"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(1) Procjena štete u poljoprivredi obuhvaća procjenu štete nastale na biljnoj proizvodnji uključujući obrtna sredstva u poljoprivredi, i stočarstvu.</w:t>
      </w:r>
    </w:p>
    <w:p w14:paraId="18806F4A"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(2) Štete u poljoprivredi obračunavaju se prema mjestu prijave štete.</w:t>
      </w:r>
    </w:p>
    <w:p w14:paraId="123A2335"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(3) Štetu u poljoprivredi mogu prijaviti svi poljoprivredni proizvođači upisani u Upisnik poljoprivrednika.</w:t>
      </w:r>
    </w:p>
    <w:p w14:paraId="5B655A01"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(4) Prijava štete od prirodnih nepogoda u poljoprivredi obavezno sadržava MIBPG poljoprivrednog proizvođača te ARKOD oznaku površine za koju se šteta prijavljuje ili broj katastarske čestice.</w:t>
      </w:r>
    </w:p>
    <w:p w14:paraId="5A3AC994" w14:textId="77777777" w:rsidR="00E732EF" w:rsidRPr="00E732EF" w:rsidRDefault="00E732EF" w:rsidP="00E732EF">
      <w:pPr>
        <w:spacing w:after="0" w:line="240" w:lineRule="auto"/>
        <w:rPr>
          <w:rFonts w:ascii="Calibri" w:eastAsia="Calibri" w:hAnsi="Calibri" w:cs="Times New Roman"/>
        </w:rPr>
      </w:pPr>
    </w:p>
    <w:p w14:paraId="1C541E37" w14:textId="77777777" w:rsidR="00E732EF" w:rsidRPr="00E732EF" w:rsidRDefault="00E732EF" w:rsidP="00E732EF">
      <w:pPr>
        <w:rPr>
          <w:rFonts w:ascii="Calibri" w:eastAsia="Calibri" w:hAnsi="Calibri" w:cs="Arial"/>
        </w:rPr>
      </w:pPr>
      <w:r w:rsidRPr="00E732EF">
        <w:rPr>
          <w:rFonts w:ascii="Times New Roman" w:eastAsia="Calibri" w:hAnsi="Times New Roman" w:cs="Times New Roman"/>
          <w:b/>
          <w:bCs/>
        </w:rPr>
        <w:t xml:space="preserve">F – Procjena štete na biljnoj proizvodnji </w:t>
      </w:r>
      <w:r w:rsidRPr="00E732EF">
        <w:rPr>
          <w:rFonts w:ascii="Times New Roman" w:eastAsia="Calibri" w:hAnsi="Times New Roman" w:cs="Times New Roman"/>
        </w:rPr>
        <w:t xml:space="preserve"> (Čl.11 Pravilnika)</w:t>
      </w:r>
    </w:p>
    <w:p w14:paraId="6217E996"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(1) Procjena štete na biljnoj proizvodnji obuhvaća procjenu štete na višegodišnjim nasadima i obrtnim sredstvima u poljoprivredi uključujući gubitak priroda u kalendarskoj godini u kojoj je proglašena prirodna nepogoda.</w:t>
      </w:r>
    </w:p>
    <w:p w14:paraId="4A6915E1"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(2) Procjena štete od prirodne nepogode na biljnoj proizvodnji utvrđuje se umnoškom poljoprivredne površine (ha) pod pojedinom kulturom oštećenom ili uništenom prirodnom nepogodom, postotkom procijenjenog oštećenja i jedinstvenom cijenom kulture.</w:t>
      </w:r>
    </w:p>
    <w:p w14:paraId="3C793247" w14:textId="77777777" w:rsidR="00E732EF" w:rsidRPr="00E732EF" w:rsidRDefault="00E732EF" w:rsidP="00E732EF">
      <w:pPr>
        <w:spacing w:after="0" w:line="240" w:lineRule="auto"/>
        <w:rPr>
          <w:rFonts w:ascii="Calibri" w:eastAsia="Calibri" w:hAnsi="Calibri" w:cs="Times New Roman"/>
        </w:rPr>
      </w:pPr>
    </w:p>
    <w:p w14:paraId="108AA9F5" w14:textId="77777777" w:rsidR="00E732EF" w:rsidRPr="00E732EF" w:rsidRDefault="00E732EF" w:rsidP="00E732EF">
      <w:pPr>
        <w:rPr>
          <w:rFonts w:ascii="Calibri" w:eastAsia="Calibri" w:hAnsi="Calibri" w:cs="Arial"/>
        </w:rPr>
      </w:pPr>
      <w:r w:rsidRPr="00E732EF">
        <w:rPr>
          <w:rFonts w:ascii="Times New Roman" w:eastAsia="Calibri" w:hAnsi="Times New Roman" w:cs="Times New Roman"/>
          <w:b/>
          <w:bCs/>
        </w:rPr>
        <w:t xml:space="preserve">G – Procjena štete na višegodišnjim nasadima </w:t>
      </w:r>
      <w:r w:rsidRPr="00E732EF">
        <w:rPr>
          <w:rFonts w:ascii="Times New Roman" w:eastAsia="Calibri" w:hAnsi="Times New Roman" w:cs="Times New Roman"/>
        </w:rPr>
        <w:t xml:space="preserve"> (Čl.12 Pravilnika)</w:t>
      </w:r>
    </w:p>
    <w:p w14:paraId="32A6DF84"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(1) Šteta na višegodišnjim nasadima odnosi se na uništenje stabala i sadnica voćaka, maslina te trsova vinove loze.</w:t>
      </w:r>
    </w:p>
    <w:p w14:paraId="46D997AE"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(2) Iznos štete na višegodišnjim nasadima obračunava se umnoškom broja uništenih stabala, trsova i/ili sadnica s jedinstvenom cijenom kulture.</w:t>
      </w:r>
    </w:p>
    <w:p w14:paraId="249CC80D"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(3) Šteta od prirodne nepogode na višegodišnjim nasadima prijavljuje se u Registru šteta na obrascu Prijava štete na višegodišnjim nasadima.</w:t>
      </w:r>
    </w:p>
    <w:p w14:paraId="2DB36C65" w14:textId="77777777" w:rsidR="00E732EF" w:rsidRPr="00E732EF" w:rsidRDefault="00E732EF" w:rsidP="00E732EF">
      <w:pPr>
        <w:spacing w:after="0" w:line="240" w:lineRule="auto"/>
        <w:jc w:val="both"/>
        <w:rPr>
          <w:rFonts w:ascii="Times New Roman" w:eastAsia="Calibri" w:hAnsi="Times New Roman" w:cs="Times New Roman"/>
        </w:rPr>
      </w:pPr>
    </w:p>
    <w:p w14:paraId="57523814" w14:textId="77777777" w:rsidR="00E732EF" w:rsidRPr="00E732EF" w:rsidRDefault="00E732EF" w:rsidP="00E732EF">
      <w:pPr>
        <w:rPr>
          <w:rFonts w:ascii="Calibri" w:eastAsia="Calibri" w:hAnsi="Calibri" w:cs="Arial"/>
        </w:rPr>
      </w:pPr>
      <w:r w:rsidRPr="00E732EF">
        <w:rPr>
          <w:rFonts w:ascii="Times New Roman" w:eastAsia="Calibri" w:hAnsi="Times New Roman" w:cs="Times New Roman"/>
          <w:b/>
          <w:bCs/>
        </w:rPr>
        <w:t xml:space="preserve">H – Procjena štete na obrtnim sredstvima u poljoprivredi </w:t>
      </w:r>
      <w:r w:rsidRPr="00E732EF">
        <w:rPr>
          <w:rFonts w:ascii="Times New Roman" w:eastAsia="Calibri" w:hAnsi="Times New Roman" w:cs="Times New Roman"/>
        </w:rPr>
        <w:t xml:space="preserve"> (Čl.13 Pravilnika)</w:t>
      </w:r>
    </w:p>
    <w:p w14:paraId="083E4BDC"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(1) U obrtna sredstva u poljoprivredi ubrajaju se sirovine, reprodukcijski materijal, poluproizvodi i nedovršeni proizvodi, gotovi proizvodi i tekuća poljoprivredna proizvodnja.</w:t>
      </w:r>
    </w:p>
    <w:p w14:paraId="58F0DC4F"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(2) Šteta u tekućoj poljoprivrednoj proizvodnji iz ovoga članka može nastati na žitaricama, industrijskom bilju, krmnom i ostalom bilju, livadama i pašnjacima te na voću, povrću, grožđu i maslinama.</w:t>
      </w:r>
    </w:p>
    <w:p w14:paraId="2B40B50B"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(3) Šteta je jednaka umnošku procijenjenih količina uništenih roba i jedinstvenih cijena.</w:t>
      </w:r>
    </w:p>
    <w:p w14:paraId="6C6E2183"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(4) Šteta na obrtnim sredstvima procjenjuje se uvidom na mjestu nastanka štete, a obračunava po vrstama roba.</w:t>
      </w:r>
    </w:p>
    <w:p w14:paraId="58089979"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(5) Šteta od prirodne nepogode na obrtnim sredstvima prijavljuje se u Registru šteta na obrascu Prijava štete na obrtnim sredstvima.</w:t>
      </w:r>
    </w:p>
    <w:p w14:paraId="5CF48C99" w14:textId="77777777" w:rsidR="00E732EF" w:rsidRPr="00E732EF" w:rsidRDefault="00E732EF" w:rsidP="00E732EF">
      <w:pPr>
        <w:spacing w:after="0" w:line="240" w:lineRule="auto"/>
        <w:jc w:val="both"/>
        <w:rPr>
          <w:rFonts w:ascii="Times New Roman" w:eastAsia="Calibri" w:hAnsi="Times New Roman" w:cs="Times New Roman"/>
        </w:rPr>
      </w:pPr>
    </w:p>
    <w:p w14:paraId="2CC2BB06" w14:textId="77777777" w:rsidR="00E732EF" w:rsidRPr="00E732EF" w:rsidRDefault="00E732EF" w:rsidP="00E732EF">
      <w:pPr>
        <w:rPr>
          <w:rFonts w:ascii="Calibri" w:eastAsia="Calibri" w:hAnsi="Calibri" w:cs="Arial"/>
        </w:rPr>
      </w:pPr>
      <w:r w:rsidRPr="00E732EF">
        <w:rPr>
          <w:rFonts w:ascii="Times New Roman" w:eastAsia="Calibri" w:hAnsi="Times New Roman" w:cs="Times New Roman"/>
          <w:b/>
          <w:bCs/>
        </w:rPr>
        <w:t xml:space="preserve">I– Procjena štete u stočarstvu </w:t>
      </w:r>
      <w:r w:rsidRPr="00E732EF">
        <w:rPr>
          <w:rFonts w:ascii="Times New Roman" w:eastAsia="Calibri" w:hAnsi="Times New Roman" w:cs="Times New Roman"/>
        </w:rPr>
        <w:t xml:space="preserve"> (Čl.14 Pravilnika)</w:t>
      </w:r>
    </w:p>
    <w:p w14:paraId="458DAF2B"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(1) Šteta u stočarstvu procjenjuje se samo na uginulim životinjama.</w:t>
      </w:r>
    </w:p>
    <w:p w14:paraId="6785E43A"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(2) Broj uginule stoke utvrđuje se po vrstama i kategorijama na način da se za svaku kategoriju stoke utvrđuje prosječna jedinična težina žive vage i važeća tržišna cijena po kilogramu žive vage. Šteta je jednaka umnošku broja komada, prosječne jedinične težine i jedinstvene cijene.</w:t>
      </w:r>
    </w:p>
    <w:p w14:paraId="16917C95"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(3) Pri procjeni štete u pčelarstvu, procjenjuje se ukupan broj uginulih društava, te se primjenom jedinstvenih cijena utvrđuje šteta.</w:t>
      </w:r>
    </w:p>
    <w:p w14:paraId="66652F1A" w14:textId="77777777" w:rsidR="00E732EF" w:rsidRPr="00E732EF" w:rsidRDefault="00E732EF" w:rsidP="00E732EF">
      <w:pPr>
        <w:spacing w:after="0" w:line="240" w:lineRule="auto"/>
        <w:jc w:val="both"/>
        <w:rPr>
          <w:rFonts w:ascii="Times New Roman" w:eastAsia="Calibri" w:hAnsi="Times New Roman" w:cs="Times New Roman"/>
        </w:rPr>
      </w:pPr>
    </w:p>
    <w:p w14:paraId="52CCE384" w14:textId="77777777" w:rsidR="00E732EF" w:rsidRPr="00E732EF" w:rsidRDefault="00E732EF" w:rsidP="00E732EF">
      <w:pPr>
        <w:rPr>
          <w:rFonts w:ascii="Calibri" w:eastAsia="Calibri" w:hAnsi="Calibri" w:cs="Arial"/>
        </w:rPr>
      </w:pPr>
      <w:r w:rsidRPr="00E732EF">
        <w:rPr>
          <w:rFonts w:ascii="Times New Roman" w:eastAsia="Calibri" w:hAnsi="Times New Roman" w:cs="Times New Roman"/>
          <w:b/>
          <w:bCs/>
        </w:rPr>
        <w:lastRenderedPageBreak/>
        <w:t xml:space="preserve">J– Procjena štete u ribarstvu i akvakulturi </w:t>
      </w:r>
      <w:r w:rsidRPr="00E732EF">
        <w:rPr>
          <w:rFonts w:ascii="Times New Roman" w:eastAsia="Calibri" w:hAnsi="Times New Roman" w:cs="Times New Roman"/>
        </w:rPr>
        <w:t xml:space="preserve"> (Čl.15 Pravilnika)</w:t>
      </w:r>
    </w:p>
    <w:p w14:paraId="19412E73"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Pri procjeni šteta u ribarstvu i akvakulturi procjenjuje se ukupna količina uginule ribe i drugih organizama u akvakulturi, te se primjenom jedinstvenih cijena utvrđuje iznos štete.</w:t>
      </w:r>
    </w:p>
    <w:p w14:paraId="749FB00A" w14:textId="77777777" w:rsidR="00E732EF" w:rsidRPr="00E732EF" w:rsidRDefault="00E732EF" w:rsidP="00E732EF">
      <w:pPr>
        <w:spacing w:after="0" w:line="240" w:lineRule="auto"/>
        <w:jc w:val="both"/>
        <w:rPr>
          <w:rFonts w:ascii="Times New Roman" w:eastAsia="Calibri" w:hAnsi="Times New Roman" w:cs="Times New Roman"/>
        </w:rPr>
      </w:pPr>
    </w:p>
    <w:p w14:paraId="2D316DAA" w14:textId="77777777" w:rsidR="00E732EF" w:rsidRPr="00E732EF" w:rsidRDefault="00E732EF" w:rsidP="00E732EF">
      <w:pPr>
        <w:rPr>
          <w:rFonts w:ascii="Calibri" w:eastAsia="Calibri" w:hAnsi="Calibri" w:cs="Arial"/>
        </w:rPr>
      </w:pPr>
      <w:r w:rsidRPr="00E732EF">
        <w:rPr>
          <w:rFonts w:ascii="Times New Roman" w:eastAsia="Calibri" w:hAnsi="Times New Roman" w:cs="Times New Roman"/>
          <w:b/>
          <w:bCs/>
        </w:rPr>
        <w:t xml:space="preserve">K– Procjena štete na divljači </w:t>
      </w:r>
      <w:r w:rsidRPr="00E732EF">
        <w:rPr>
          <w:rFonts w:ascii="Times New Roman" w:eastAsia="Calibri" w:hAnsi="Times New Roman" w:cs="Times New Roman"/>
        </w:rPr>
        <w:t xml:space="preserve"> (Čl.16 Pravilnika)</w:t>
      </w:r>
    </w:p>
    <w:p w14:paraId="5C48DA50"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Štete se za uništenu divljač obračunavaju na način da se procijeni broj uginule divljači po vrstama te pomnoži s jedinstvenom cijenom.</w:t>
      </w:r>
    </w:p>
    <w:p w14:paraId="71EC1ACF" w14:textId="77777777" w:rsidR="00E732EF" w:rsidRPr="00E732EF" w:rsidRDefault="00E732EF" w:rsidP="00E732EF">
      <w:pPr>
        <w:spacing w:after="0" w:line="240" w:lineRule="auto"/>
        <w:jc w:val="both"/>
        <w:rPr>
          <w:rFonts w:ascii="Times New Roman" w:eastAsia="Calibri" w:hAnsi="Times New Roman" w:cs="Times New Roman"/>
        </w:rPr>
      </w:pPr>
      <w:r w:rsidRPr="00E732EF">
        <w:rPr>
          <w:rFonts w:ascii="Times New Roman" w:eastAsia="Calibri" w:hAnsi="Times New Roman" w:cs="Times New Roman"/>
        </w:rPr>
        <w:t xml:space="preserve">Podaci o razvrstavanju dobara i šifre pojedinačno po kulturama objavljuju se na Internet stranici Ministarstva financija </w:t>
      </w:r>
      <w:hyperlink r:id="rId45" w:history="1">
        <w:r w:rsidRPr="00E732EF">
          <w:rPr>
            <w:rFonts w:ascii="Times New Roman" w:eastAsia="Calibri" w:hAnsi="Times New Roman" w:cs="Times New Roman"/>
            <w:b/>
            <w:bCs/>
            <w:color w:val="0000FF"/>
            <w:u w:val="single"/>
          </w:rPr>
          <w:t>www.mfin.hr</w:t>
        </w:r>
      </w:hyperlink>
      <w:r w:rsidRPr="00E732EF">
        <w:rPr>
          <w:rFonts w:ascii="Times New Roman" w:eastAsia="Calibri" w:hAnsi="Times New Roman" w:cs="Times New Roman"/>
          <w:b/>
          <w:bCs/>
        </w:rPr>
        <w:t xml:space="preserve">.                   </w:t>
      </w:r>
    </w:p>
    <w:p w14:paraId="09CD58AF" w14:textId="31E16DB5" w:rsidR="00705F0C" w:rsidRDefault="00705F0C"/>
    <w:sectPr w:rsidR="00705F0C" w:rsidSect="00E732EF">
      <w:footerReference w:type="default" r:id="rId46"/>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CA08F0" w14:textId="77777777" w:rsidR="00C12AFA" w:rsidRDefault="00C12AFA">
      <w:pPr>
        <w:spacing w:after="0" w:line="240" w:lineRule="auto"/>
      </w:pPr>
      <w:r>
        <w:separator/>
      </w:r>
    </w:p>
  </w:endnote>
  <w:endnote w:type="continuationSeparator" w:id="0">
    <w:p w14:paraId="6E07A24C" w14:textId="77777777" w:rsidR="00C12AFA" w:rsidRDefault="00C1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RO_Korinna">
    <w:altName w:val="Arial"/>
    <w:charset w:val="00"/>
    <w:family w:val="swiss"/>
    <w:pitch w:val="variable"/>
    <w:sig w:usb0="00000003" w:usb1="00000000" w:usb2="00000000" w:usb3="00000000" w:csb0="00000001" w:csb1="00000000"/>
  </w:font>
  <w:font w:name="Bookman Old Style">
    <w:panose1 w:val="02050604050505020204"/>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56416" w14:textId="77777777" w:rsidR="00485646" w:rsidRDefault="00485646">
    <w:pPr>
      <w:pStyle w:val="Podnoje"/>
      <w:jc w:val="right"/>
    </w:pPr>
    <w:r>
      <w:fldChar w:fldCharType="begin"/>
    </w:r>
    <w:r>
      <w:instrText xml:space="preserve"> PAGE   \* MERGEFORMAT </w:instrText>
    </w:r>
    <w:r>
      <w:fldChar w:fldCharType="separate"/>
    </w:r>
    <w:r w:rsidR="00190F89">
      <w:rPr>
        <w:noProof/>
      </w:rPr>
      <w:t>1</w:t>
    </w:r>
    <w:r>
      <w:fldChar w:fldCharType="end"/>
    </w:r>
  </w:p>
  <w:p w14:paraId="698D6500" w14:textId="77777777" w:rsidR="00485646" w:rsidRDefault="00485646">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FC7712" w14:textId="77777777" w:rsidR="00C12AFA" w:rsidRDefault="00C12AFA">
      <w:pPr>
        <w:spacing w:after="0" w:line="240" w:lineRule="auto"/>
      </w:pPr>
      <w:r>
        <w:separator/>
      </w:r>
    </w:p>
  </w:footnote>
  <w:footnote w:type="continuationSeparator" w:id="0">
    <w:p w14:paraId="24699138" w14:textId="77777777" w:rsidR="00C12AFA" w:rsidRDefault="00C12A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clip_image001"/>
      </v:shape>
    </w:pict>
  </w:numPicBullet>
  <w:abstractNum w:abstractNumId="0" w15:restartNumberingAfterBreak="0">
    <w:nsid w:val="046D7E82"/>
    <w:multiLevelType w:val="hybridMultilevel"/>
    <w:tmpl w:val="5C9C4CB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8205BCB"/>
    <w:multiLevelType w:val="hybridMultilevel"/>
    <w:tmpl w:val="96CA4126"/>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0F520054"/>
    <w:multiLevelType w:val="hybridMultilevel"/>
    <w:tmpl w:val="9E4C7020"/>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10ED7C2C"/>
    <w:multiLevelType w:val="hybridMultilevel"/>
    <w:tmpl w:val="CF8A5F18"/>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12FF7799"/>
    <w:multiLevelType w:val="hybridMultilevel"/>
    <w:tmpl w:val="DBA4D14E"/>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14761CE1"/>
    <w:multiLevelType w:val="hybridMultilevel"/>
    <w:tmpl w:val="202A530C"/>
    <w:lvl w:ilvl="0" w:tplc="041A0001">
      <w:start w:val="1"/>
      <w:numFmt w:val="bullet"/>
      <w:lvlText w:val=""/>
      <w:lvlJc w:val="left"/>
      <w:pPr>
        <w:ind w:left="720" w:hanging="360"/>
      </w:pPr>
      <w:rPr>
        <w:rFonts w:ascii="Symbol" w:hAnsi="Symbol" w:hint="default"/>
      </w:rPr>
    </w:lvl>
    <w:lvl w:ilvl="1" w:tplc="041A0001">
      <w:start w:val="1"/>
      <w:numFmt w:val="bullet"/>
      <w:lvlText w:val=""/>
      <w:lvlJc w:val="left"/>
      <w:pPr>
        <w:ind w:left="1440" w:hanging="360"/>
      </w:pPr>
      <w:rPr>
        <w:rFonts w:ascii="Symbol" w:hAnsi="Symbol"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26EE3509"/>
    <w:multiLevelType w:val="multilevel"/>
    <w:tmpl w:val="6BA407C4"/>
    <w:lvl w:ilvl="0">
      <w:start w:val="1"/>
      <w:numFmt w:val="decimal"/>
      <w:pStyle w:val="Tijeloteksta"/>
      <w:lvlText w:val="%1."/>
      <w:lvlJc w:val="left"/>
      <w:pPr>
        <w:tabs>
          <w:tab w:val="num" w:pos="360"/>
        </w:tabs>
        <w:ind w:left="360" w:hanging="360"/>
      </w:pPr>
      <w:rPr>
        <w:rFonts w:ascii="Arial" w:hAnsi="Arial" w:hint="default"/>
        <w:b/>
        <w:i w:val="0"/>
        <w:sz w:val="22"/>
        <w:szCs w:val="22"/>
      </w:rPr>
    </w:lvl>
    <w:lvl w:ilvl="1">
      <w:start w:val="1"/>
      <w:numFmt w:val="decimal"/>
      <w:pStyle w:val="NASLOVar11"/>
      <w:lvlText w:val="%1.%2."/>
      <w:lvlJc w:val="left"/>
      <w:pPr>
        <w:tabs>
          <w:tab w:val="num" w:pos="792"/>
        </w:tabs>
        <w:ind w:left="792" w:hanging="432"/>
      </w:pPr>
      <w:rPr>
        <w:rFonts w:ascii="Arial" w:hAnsi="Arial" w:hint="default"/>
        <w:b/>
        <w:i w:val="0"/>
        <w:sz w:val="22"/>
        <w:szCs w:val="22"/>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 w15:restartNumberingAfterBreak="0">
    <w:nsid w:val="28A62C15"/>
    <w:multiLevelType w:val="hybridMultilevel"/>
    <w:tmpl w:val="D796497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2B2F69A0"/>
    <w:multiLevelType w:val="hybridMultilevel"/>
    <w:tmpl w:val="DD98D006"/>
    <w:lvl w:ilvl="0" w:tplc="041A000B">
      <w:start w:val="1"/>
      <w:numFmt w:val="bullet"/>
      <w:lvlText w:val=""/>
      <w:lvlJc w:val="left"/>
      <w:pPr>
        <w:ind w:left="765" w:hanging="360"/>
      </w:pPr>
      <w:rPr>
        <w:rFonts w:ascii="Wingdings" w:hAnsi="Wingdings"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9" w15:restartNumberingAfterBreak="0">
    <w:nsid w:val="2D7B0D0F"/>
    <w:multiLevelType w:val="hybridMultilevel"/>
    <w:tmpl w:val="63CE4C0C"/>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33463C37"/>
    <w:multiLevelType w:val="hybridMultilevel"/>
    <w:tmpl w:val="8116A83C"/>
    <w:lvl w:ilvl="0" w:tplc="041A0007">
      <w:start w:val="1"/>
      <w:numFmt w:val="bullet"/>
      <w:lvlText w:val=""/>
      <w:lvlPicBulletId w:val="0"/>
      <w:lvlJc w:val="left"/>
      <w:pPr>
        <w:ind w:left="720" w:hanging="360"/>
      </w:pPr>
      <w:rPr>
        <w:rFonts w:ascii="Symbol" w:hAnsi="Symbol"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11" w15:restartNumberingAfterBreak="0">
    <w:nsid w:val="3776702A"/>
    <w:multiLevelType w:val="hybridMultilevel"/>
    <w:tmpl w:val="B6AEB502"/>
    <w:lvl w:ilvl="0" w:tplc="041A000B">
      <w:start w:val="1"/>
      <w:numFmt w:val="bullet"/>
      <w:lvlText w:val=""/>
      <w:lvlJc w:val="left"/>
      <w:pPr>
        <w:ind w:left="720" w:hanging="360"/>
      </w:pPr>
      <w:rPr>
        <w:rFonts w:ascii="Wingdings" w:hAnsi="Wingdings"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12" w15:restartNumberingAfterBreak="0">
    <w:nsid w:val="379A6070"/>
    <w:multiLevelType w:val="hybridMultilevel"/>
    <w:tmpl w:val="4FD64B92"/>
    <w:lvl w:ilvl="0" w:tplc="041A000B">
      <w:start w:val="1"/>
      <w:numFmt w:val="bullet"/>
      <w:lvlText w:val=""/>
      <w:lvlJc w:val="left"/>
      <w:pPr>
        <w:ind w:left="720" w:hanging="360"/>
      </w:pPr>
      <w:rPr>
        <w:rFonts w:ascii="Wingdings" w:hAnsi="Wingdings" w:hint="default"/>
      </w:rPr>
    </w:lvl>
    <w:lvl w:ilvl="1" w:tplc="8FD4561A">
      <w:numFmt w:val="bullet"/>
      <w:lvlText w:val="-"/>
      <w:lvlJc w:val="left"/>
      <w:pPr>
        <w:ind w:left="1440" w:hanging="360"/>
      </w:pPr>
      <w:rPr>
        <w:rFonts w:ascii="Calibri" w:eastAsia="Calibri" w:hAnsi="Calibri" w:cs="Calibri"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379C0876"/>
    <w:multiLevelType w:val="hybridMultilevel"/>
    <w:tmpl w:val="CD4454FA"/>
    <w:lvl w:ilvl="0" w:tplc="041A0001">
      <w:start w:val="1"/>
      <w:numFmt w:val="bullet"/>
      <w:lvlText w:val=""/>
      <w:lvlJc w:val="left"/>
      <w:pPr>
        <w:ind w:left="720" w:hanging="360"/>
      </w:pPr>
      <w:rPr>
        <w:rFonts w:ascii="Symbol" w:hAnsi="Symbol" w:hint="default"/>
      </w:rPr>
    </w:lvl>
    <w:lvl w:ilvl="1" w:tplc="552837C4">
      <w:start w:val="2017"/>
      <w:numFmt w:val="bullet"/>
      <w:lvlText w:val="•"/>
      <w:lvlJc w:val="left"/>
      <w:pPr>
        <w:ind w:left="1440" w:hanging="360"/>
      </w:pPr>
      <w:rPr>
        <w:rFonts w:ascii="Times New Roman" w:eastAsia="Calibri" w:hAnsi="Times New Roman" w:cs="Times New Roman"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38513CD3"/>
    <w:multiLevelType w:val="hybridMultilevel"/>
    <w:tmpl w:val="55261450"/>
    <w:lvl w:ilvl="0" w:tplc="041A0001">
      <w:start w:val="1"/>
      <w:numFmt w:val="bullet"/>
      <w:lvlText w:val=""/>
      <w:lvlJc w:val="left"/>
      <w:pPr>
        <w:ind w:left="720" w:hanging="360"/>
      </w:pPr>
      <w:rPr>
        <w:rFonts w:ascii="Symbol" w:hAnsi="Symbol" w:hint="default"/>
      </w:rPr>
    </w:lvl>
    <w:lvl w:ilvl="1" w:tplc="041A0001">
      <w:start w:val="1"/>
      <w:numFmt w:val="bullet"/>
      <w:lvlText w:val=""/>
      <w:lvlJc w:val="left"/>
      <w:pPr>
        <w:ind w:left="1440" w:hanging="360"/>
      </w:pPr>
      <w:rPr>
        <w:rFonts w:ascii="Symbol" w:hAnsi="Symbol"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3ACB48F8"/>
    <w:multiLevelType w:val="hybridMultilevel"/>
    <w:tmpl w:val="360CD61E"/>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421A2E17"/>
    <w:multiLevelType w:val="hybridMultilevel"/>
    <w:tmpl w:val="C0E21766"/>
    <w:lvl w:ilvl="0" w:tplc="041A0001">
      <w:start w:val="1"/>
      <w:numFmt w:val="bullet"/>
      <w:lvlText w:val=""/>
      <w:lvlJc w:val="left"/>
      <w:pPr>
        <w:ind w:left="720" w:hanging="360"/>
      </w:pPr>
      <w:rPr>
        <w:rFonts w:ascii="Symbol" w:hAnsi="Symbol" w:hint="default"/>
      </w:rPr>
    </w:lvl>
    <w:lvl w:ilvl="1" w:tplc="041A0001">
      <w:start w:val="1"/>
      <w:numFmt w:val="bullet"/>
      <w:lvlText w:val=""/>
      <w:lvlJc w:val="left"/>
      <w:pPr>
        <w:ind w:left="1440" w:hanging="360"/>
      </w:pPr>
      <w:rPr>
        <w:rFonts w:ascii="Symbol" w:hAnsi="Symbol"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422248A1"/>
    <w:multiLevelType w:val="hybridMultilevel"/>
    <w:tmpl w:val="2D86F9C4"/>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440119FE"/>
    <w:multiLevelType w:val="hybridMultilevel"/>
    <w:tmpl w:val="C676120C"/>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4409618D"/>
    <w:multiLevelType w:val="hybridMultilevel"/>
    <w:tmpl w:val="4C9EA81A"/>
    <w:lvl w:ilvl="0" w:tplc="041A0009">
      <w:start w:val="1"/>
      <w:numFmt w:val="bullet"/>
      <w:lvlText w:val=""/>
      <w:lvlJc w:val="left"/>
      <w:pPr>
        <w:ind w:left="720" w:hanging="360"/>
      </w:pPr>
      <w:rPr>
        <w:rFonts w:ascii="Wingdings" w:hAnsi="Wingdings"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20" w15:restartNumberingAfterBreak="0">
    <w:nsid w:val="46BF61E5"/>
    <w:multiLevelType w:val="hybridMultilevel"/>
    <w:tmpl w:val="BFFA81D0"/>
    <w:lvl w:ilvl="0" w:tplc="041A0015">
      <w:start w:val="1"/>
      <w:numFmt w:val="upp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47B3667C"/>
    <w:multiLevelType w:val="hybridMultilevel"/>
    <w:tmpl w:val="E8883BC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2" w15:restartNumberingAfterBreak="0">
    <w:nsid w:val="51723DE9"/>
    <w:multiLevelType w:val="hybridMultilevel"/>
    <w:tmpl w:val="01FA0ADC"/>
    <w:lvl w:ilvl="0" w:tplc="041A0001">
      <w:start w:val="1"/>
      <w:numFmt w:val="bullet"/>
      <w:lvlText w:val=""/>
      <w:lvlJc w:val="left"/>
      <w:pPr>
        <w:ind w:left="720" w:hanging="360"/>
      </w:pPr>
      <w:rPr>
        <w:rFonts w:ascii="Symbol" w:hAnsi="Symbol" w:hint="default"/>
      </w:rPr>
    </w:lvl>
    <w:lvl w:ilvl="1" w:tplc="980EBFBA">
      <w:start w:val="2017"/>
      <w:numFmt w:val="bullet"/>
      <w:lvlText w:val="•"/>
      <w:lvlJc w:val="left"/>
      <w:pPr>
        <w:ind w:left="1440" w:hanging="360"/>
      </w:pPr>
      <w:rPr>
        <w:rFonts w:ascii="Times New Roman" w:eastAsia="Calibri" w:hAnsi="Times New Roman" w:cs="Times New Roman"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3" w15:restartNumberingAfterBreak="0">
    <w:nsid w:val="53286D61"/>
    <w:multiLevelType w:val="hybridMultilevel"/>
    <w:tmpl w:val="003C6524"/>
    <w:lvl w:ilvl="0" w:tplc="041A0001">
      <w:start w:val="1"/>
      <w:numFmt w:val="bullet"/>
      <w:lvlText w:val=""/>
      <w:lvlJc w:val="left"/>
      <w:pPr>
        <w:ind w:left="720" w:hanging="360"/>
      </w:pPr>
      <w:rPr>
        <w:rFonts w:ascii="Symbol" w:hAnsi="Symbol" w:hint="default"/>
      </w:rPr>
    </w:lvl>
    <w:lvl w:ilvl="1" w:tplc="041A0001">
      <w:start w:val="1"/>
      <w:numFmt w:val="bullet"/>
      <w:lvlText w:val=""/>
      <w:lvlJc w:val="left"/>
      <w:pPr>
        <w:ind w:left="1440" w:hanging="360"/>
      </w:pPr>
      <w:rPr>
        <w:rFonts w:ascii="Symbol" w:hAnsi="Symbol"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4" w15:restartNumberingAfterBreak="0">
    <w:nsid w:val="538A106E"/>
    <w:multiLevelType w:val="hybridMultilevel"/>
    <w:tmpl w:val="F372ED02"/>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5" w15:restartNumberingAfterBreak="0">
    <w:nsid w:val="54B434E8"/>
    <w:multiLevelType w:val="hybridMultilevel"/>
    <w:tmpl w:val="DFFC71B0"/>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6" w15:restartNumberingAfterBreak="0">
    <w:nsid w:val="564D12AF"/>
    <w:multiLevelType w:val="hybridMultilevel"/>
    <w:tmpl w:val="47F631A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7" w15:restartNumberingAfterBreak="0">
    <w:nsid w:val="5FD40C31"/>
    <w:multiLevelType w:val="hybridMultilevel"/>
    <w:tmpl w:val="6468549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8" w15:restartNumberingAfterBreak="0">
    <w:nsid w:val="711F06A6"/>
    <w:multiLevelType w:val="hybridMultilevel"/>
    <w:tmpl w:val="7C507A14"/>
    <w:lvl w:ilvl="0" w:tplc="041A0007">
      <w:start w:val="1"/>
      <w:numFmt w:val="bullet"/>
      <w:lvlText w:val=""/>
      <w:lvlPicBulletId w:val="0"/>
      <w:lvlJc w:val="left"/>
      <w:pPr>
        <w:ind w:left="765" w:hanging="360"/>
      </w:pPr>
      <w:rPr>
        <w:rFonts w:ascii="Symbol" w:hAnsi="Symbol"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29" w15:restartNumberingAfterBreak="0">
    <w:nsid w:val="73816F1C"/>
    <w:multiLevelType w:val="hybridMultilevel"/>
    <w:tmpl w:val="AB8E1272"/>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0" w15:restartNumberingAfterBreak="0">
    <w:nsid w:val="75301022"/>
    <w:multiLevelType w:val="hybridMultilevel"/>
    <w:tmpl w:val="332EC12A"/>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1" w15:restartNumberingAfterBreak="0">
    <w:nsid w:val="76B30A4C"/>
    <w:multiLevelType w:val="hybridMultilevel"/>
    <w:tmpl w:val="A23EAC74"/>
    <w:lvl w:ilvl="0" w:tplc="041A000B">
      <w:start w:val="1"/>
      <w:numFmt w:val="bullet"/>
      <w:lvlText w:val=""/>
      <w:lvlJc w:val="left"/>
      <w:pPr>
        <w:ind w:left="720" w:hanging="360"/>
      </w:pPr>
      <w:rPr>
        <w:rFonts w:ascii="Wingdings" w:hAnsi="Wingdings"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32" w15:restartNumberingAfterBreak="0">
    <w:nsid w:val="7A9323FD"/>
    <w:multiLevelType w:val="hybridMultilevel"/>
    <w:tmpl w:val="971C7EB0"/>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3" w15:restartNumberingAfterBreak="0">
    <w:nsid w:val="7E472B1B"/>
    <w:multiLevelType w:val="hybridMultilevel"/>
    <w:tmpl w:val="18A02B6A"/>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4" w15:restartNumberingAfterBreak="0">
    <w:nsid w:val="7EDF784F"/>
    <w:multiLevelType w:val="hybridMultilevel"/>
    <w:tmpl w:val="A70CF5F4"/>
    <w:lvl w:ilvl="0" w:tplc="041A000B">
      <w:start w:val="1"/>
      <w:numFmt w:val="bullet"/>
      <w:lvlText w:val=""/>
      <w:lvlJc w:val="left"/>
      <w:pPr>
        <w:ind w:left="758" w:hanging="360"/>
      </w:pPr>
      <w:rPr>
        <w:rFonts w:ascii="Wingdings" w:hAnsi="Wingdings" w:hint="default"/>
      </w:rPr>
    </w:lvl>
    <w:lvl w:ilvl="1" w:tplc="041A0003" w:tentative="1">
      <w:start w:val="1"/>
      <w:numFmt w:val="bullet"/>
      <w:lvlText w:val="o"/>
      <w:lvlJc w:val="left"/>
      <w:pPr>
        <w:ind w:left="1478" w:hanging="360"/>
      </w:pPr>
      <w:rPr>
        <w:rFonts w:ascii="Courier New" w:hAnsi="Courier New" w:cs="Courier New" w:hint="default"/>
      </w:rPr>
    </w:lvl>
    <w:lvl w:ilvl="2" w:tplc="041A0005" w:tentative="1">
      <w:start w:val="1"/>
      <w:numFmt w:val="bullet"/>
      <w:lvlText w:val=""/>
      <w:lvlJc w:val="left"/>
      <w:pPr>
        <w:ind w:left="2198" w:hanging="360"/>
      </w:pPr>
      <w:rPr>
        <w:rFonts w:ascii="Wingdings" w:hAnsi="Wingdings" w:hint="default"/>
      </w:rPr>
    </w:lvl>
    <w:lvl w:ilvl="3" w:tplc="041A0001" w:tentative="1">
      <w:start w:val="1"/>
      <w:numFmt w:val="bullet"/>
      <w:lvlText w:val=""/>
      <w:lvlJc w:val="left"/>
      <w:pPr>
        <w:ind w:left="2918" w:hanging="360"/>
      </w:pPr>
      <w:rPr>
        <w:rFonts w:ascii="Symbol" w:hAnsi="Symbol" w:hint="default"/>
      </w:rPr>
    </w:lvl>
    <w:lvl w:ilvl="4" w:tplc="041A0003" w:tentative="1">
      <w:start w:val="1"/>
      <w:numFmt w:val="bullet"/>
      <w:lvlText w:val="o"/>
      <w:lvlJc w:val="left"/>
      <w:pPr>
        <w:ind w:left="3638" w:hanging="360"/>
      </w:pPr>
      <w:rPr>
        <w:rFonts w:ascii="Courier New" w:hAnsi="Courier New" w:cs="Courier New" w:hint="default"/>
      </w:rPr>
    </w:lvl>
    <w:lvl w:ilvl="5" w:tplc="041A0005" w:tentative="1">
      <w:start w:val="1"/>
      <w:numFmt w:val="bullet"/>
      <w:lvlText w:val=""/>
      <w:lvlJc w:val="left"/>
      <w:pPr>
        <w:ind w:left="4358" w:hanging="360"/>
      </w:pPr>
      <w:rPr>
        <w:rFonts w:ascii="Wingdings" w:hAnsi="Wingdings" w:hint="default"/>
      </w:rPr>
    </w:lvl>
    <w:lvl w:ilvl="6" w:tplc="041A0001" w:tentative="1">
      <w:start w:val="1"/>
      <w:numFmt w:val="bullet"/>
      <w:lvlText w:val=""/>
      <w:lvlJc w:val="left"/>
      <w:pPr>
        <w:ind w:left="5078" w:hanging="360"/>
      </w:pPr>
      <w:rPr>
        <w:rFonts w:ascii="Symbol" w:hAnsi="Symbol" w:hint="default"/>
      </w:rPr>
    </w:lvl>
    <w:lvl w:ilvl="7" w:tplc="041A0003" w:tentative="1">
      <w:start w:val="1"/>
      <w:numFmt w:val="bullet"/>
      <w:lvlText w:val="o"/>
      <w:lvlJc w:val="left"/>
      <w:pPr>
        <w:ind w:left="5798" w:hanging="360"/>
      </w:pPr>
      <w:rPr>
        <w:rFonts w:ascii="Courier New" w:hAnsi="Courier New" w:cs="Courier New" w:hint="default"/>
      </w:rPr>
    </w:lvl>
    <w:lvl w:ilvl="8" w:tplc="041A0005" w:tentative="1">
      <w:start w:val="1"/>
      <w:numFmt w:val="bullet"/>
      <w:lvlText w:val=""/>
      <w:lvlJc w:val="left"/>
      <w:pPr>
        <w:ind w:left="6518" w:hanging="360"/>
      </w:pPr>
      <w:rPr>
        <w:rFonts w:ascii="Wingdings" w:hAnsi="Wingdings" w:hint="default"/>
      </w:rPr>
    </w:lvl>
  </w:abstractNum>
  <w:num w:numId="1" w16cid:durableId="987635951">
    <w:abstractNumId w:val="31"/>
  </w:num>
  <w:num w:numId="2" w16cid:durableId="1529249726">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8407379">
    <w:abstractNumId w:val="10"/>
  </w:num>
  <w:num w:numId="4" w16cid:durableId="58511936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89701706">
    <w:abstractNumId w:val="28"/>
  </w:num>
  <w:num w:numId="6" w16cid:durableId="1912932199">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925965321">
    <w:abstractNumId w:val="19"/>
  </w:num>
  <w:num w:numId="8" w16cid:durableId="1073628158">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3345387">
    <w:abstractNumId w:val="11"/>
  </w:num>
  <w:num w:numId="10" w16cid:durableId="99460496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48355241">
    <w:abstractNumId w:val="8"/>
  </w:num>
  <w:num w:numId="12" w16cid:durableId="159647748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87420660">
    <w:abstractNumId w:val="27"/>
  </w:num>
  <w:num w:numId="14" w16cid:durableId="1089230513">
    <w:abstractNumId w:val="3"/>
  </w:num>
  <w:num w:numId="15" w16cid:durableId="20207868">
    <w:abstractNumId w:val="12"/>
  </w:num>
  <w:num w:numId="16" w16cid:durableId="1947686425">
    <w:abstractNumId w:val="17"/>
  </w:num>
  <w:num w:numId="17" w16cid:durableId="1047337995">
    <w:abstractNumId w:val="4"/>
  </w:num>
  <w:num w:numId="18" w16cid:durableId="1496527991">
    <w:abstractNumId w:val="6"/>
  </w:num>
  <w:num w:numId="19" w16cid:durableId="149488957">
    <w:abstractNumId w:val="26"/>
  </w:num>
  <w:num w:numId="20" w16cid:durableId="1483736332">
    <w:abstractNumId w:val="0"/>
  </w:num>
  <w:num w:numId="21" w16cid:durableId="1352685073">
    <w:abstractNumId w:val="13"/>
  </w:num>
  <w:num w:numId="22" w16cid:durableId="125006252">
    <w:abstractNumId w:val="9"/>
  </w:num>
  <w:num w:numId="23" w16cid:durableId="332955385">
    <w:abstractNumId w:val="2"/>
  </w:num>
  <w:num w:numId="24" w16cid:durableId="420759238">
    <w:abstractNumId w:val="34"/>
  </w:num>
  <w:num w:numId="25" w16cid:durableId="1572765369">
    <w:abstractNumId w:val="20"/>
  </w:num>
  <w:num w:numId="26" w16cid:durableId="1010832562">
    <w:abstractNumId w:val="21"/>
  </w:num>
  <w:num w:numId="27" w16cid:durableId="336346257">
    <w:abstractNumId w:val="22"/>
  </w:num>
  <w:num w:numId="28" w16cid:durableId="771316125">
    <w:abstractNumId w:val="18"/>
  </w:num>
  <w:num w:numId="29" w16cid:durableId="1278679255">
    <w:abstractNumId w:val="16"/>
  </w:num>
  <w:num w:numId="30" w16cid:durableId="57873375">
    <w:abstractNumId w:val="30"/>
  </w:num>
  <w:num w:numId="31" w16cid:durableId="1817529541">
    <w:abstractNumId w:val="14"/>
  </w:num>
  <w:num w:numId="32" w16cid:durableId="1008362065">
    <w:abstractNumId w:val="29"/>
  </w:num>
  <w:num w:numId="33" w16cid:durableId="2058624504">
    <w:abstractNumId w:val="23"/>
  </w:num>
  <w:num w:numId="34" w16cid:durableId="271212372">
    <w:abstractNumId w:val="25"/>
  </w:num>
  <w:num w:numId="35" w16cid:durableId="508563522">
    <w:abstractNumId w:val="24"/>
  </w:num>
  <w:num w:numId="36" w16cid:durableId="822047258">
    <w:abstractNumId w:val="32"/>
  </w:num>
  <w:num w:numId="37" w16cid:durableId="1156873195">
    <w:abstractNumId w:val="15"/>
  </w:num>
  <w:num w:numId="38" w16cid:durableId="625551370">
    <w:abstractNumId w:val="1"/>
  </w:num>
  <w:num w:numId="39" w16cid:durableId="578053850">
    <w:abstractNumId w:val="5"/>
  </w:num>
  <w:num w:numId="40" w16cid:durableId="410811063">
    <w:abstractNumId w:val="33"/>
  </w:num>
  <w:num w:numId="41" w16cid:durableId="112534526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732EF"/>
    <w:rsid w:val="00001FA7"/>
    <w:rsid w:val="000C5C03"/>
    <w:rsid w:val="00160168"/>
    <w:rsid w:val="00190F89"/>
    <w:rsid w:val="001D6188"/>
    <w:rsid w:val="001D72CA"/>
    <w:rsid w:val="00201C24"/>
    <w:rsid w:val="00235E05"/>
    <w:rsid w:val="00247BFB"/>
    <w:rsid w:val="002568D2"/>
    <w:rsid w:val="00284BEB"/>
    <w:rsid w:val="00293F85"/>
    <w:rsid w:val="00337DEE"/>
    <w:rsid w:val="00391B3E"/>
    <w:rsid w:val="00394D03"/>
    <w:rsid w:val="00395D35"/>
    <w:rsid w:val="003A3A05"/>
    <w:rsid w:val="003E472F"/>
    <w:rsid w:val="003E6EF6"/>
    <w:rsid w:val="00423C1C"/>
    <w:rsid w:val="00485646"/>
    <w:rsid w:val="005059E9"/>
    <w:rsid w:val="005125A5"/>
    <w:rsid w:val="005319EE"/>
    <w:rsid w:val="00546B6C"/>
    <w:rsid w:val="00557669"/>
    <w:rsid w:val="005E6E61"/>
    <w:rsid w:val="005F4A49"/>
    <w:rsid w:val="00661C0A"/>
    <w:rsid w:val="00690338"/>
    <w:rsid w:val="006A63D7"/>
    <w:rsid w:val="00705F0C"/>
    <w:rsid w:val="007605E8"/>
    <w:rsid w:val="007B58B6"/>
    <w:rsid w:val="00851904"/>
    <w:rsid w:val="008C6040"/>
    <w:rsid w:val="008F7AB5"/>
    <w:rsid w:val="009C4DFA"/>
    <w:rsid w:val="00A12407"/>
    <w:rsid w:val="00AB53E7"/>
    <w:rsid w:val="00B55256"/>
    <w:rsid w:val="00B9095C"/>
    <w:rsid w:val="00C12AFA"/>
    <w:rsid w:val="00C428B6"/>
    <w:rsid w:val="00C65F77"/>
    <w:rsid w:val="00CC5C0A"/>
    <w:rsid w:val="00D13059"/>
    <w:rsid w:val="00D83FB2"/>
    <w:rsid w:val="00D91427"/>
    <w:rsid w:val="00E001BB"/>
    <w:rsid w:val="00E21C3A"/>
    <w:rsid w:val="00E67D47"/>
    <w:rsid w:val="00E732EF"/>
    <w:rsid w:val="00EC6651"/>
    <w:rsid w:val="00F23D02"/>
    <w:rsid w:val="00F34021"/>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7D98614"/>
  <w15:docId w15:val="{5561F2A8-D21C-4A1E-9BD7-8CE612E8B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numbering" w:customStyle="1" w:styleId="Bezpopisa1">
    <w:name w:val="Bez popisa1"/>
    <w:next w:val="Bezpopisa"/>
    <w:uiPriority w:val="99"/>
    <w:semiHidden/>
    <w:unhideWhenUsed/>
    <w:rsid w:val="00E732EF"/>
  </w:style>
  <w:style w:type="paragraph" w:styleId="Bezproreda">
    <w:name w:val="No Spacing"/>
    <w:link w:val="BezproredaChar1"/>
    <w:uiPriority w:val="1"/>
    <w:qFormat/>
    <w:rsid w:val="00E732EF"/>
    <w:pPr>
      <w:spacing w:after="0" w:line="240" w:lineRule="auto"/>
    </w:pPr>
    <w:rPr>
      <w:rFonts w:ascii="Calibri" w:eastAsia="Calibri" w:hAnsi="Calibri" w:cs="Arial"/>
    </w:rPr>
  </w:style>
  <w:style w:type="paragraph" w:styleId="Odlomakpopisa">
    <w:name w:val="List Paragraph"/>
    <w:basedOn w:val="Normal"/>
    <w:uiPriority w:val="34"/>
    <w:qFormat/>
    <w:rsid w:val="00E732EF"/>
    <w:pPr>
      <w:ind w:left="720"/>
      <w:contextualSpacing/>
    </w:pPr>
    <w:rPr>
      <w:rFonts w:ascii="Calibri" w:eastAsia="Calibri" w:hAnsi="Calibri" w:cs="Arial"/>
    </w:rPr>
  </w:style>
  <w:style w:type="character" w:customStyle="1" w:styleId="kurziv">
    <w:name w:val="kurziv"/>
    <w:basedOn w:val="Zadanifontodlomka"/>
    <w:rsid w:val="00E732EF"/>
  </w:style>
  <w:style w:type="paragraph" w:styleId="Tekstbalonia">
    <w:name w:val="Balloon Text"/>
    <w:basedOn w:val="Normal"/>
    <w:link w:val="TekstbaloniaChar"/>
    <w:uiPriority w:val="99"/>
    <w:semiHidden/>
    <w:unhideWhenUsed/>
    <w:rsid w:val="00E732EF"/>
    <w:pPr>
      <w:spacing w:after="0" w:line="240" w:lineRule="auto"/>
    </w:pPr>
    <w:rPr>
      <w:rFonts w:ascii="Tahoma" w:eastAsia="Calibri" w:hAnsi="Tahoma" w:cs="Tahoma"/>
      <w:sz w:val="16"/>
      <w:szCs w:val="16"/>
    </w:rPr>
  </w:style>
  <w:style w:type="character" w:customStyle="1" w:styleId="TekstbaloniaChar">
    <w:name w:val="Tekst balončića Char"/>
    <w:basedOn w:val="Zadanifontodlomka"/>
    <w:link w:val="Tekstbalonia"/>
    <w:uiPriority w:val="99"/>
    <w:semiHidden/>
    <w:rsid w:val="00E732EF"/>
    <w:rPr>
      <w:rFonts w:ascii="Tahoma" w:eastAsia="Calibri" w:hAnsi="Tahoma" w:cs="Tahoma"/>
      <w:sz w:val="16"/>
      <w:szCs w:val="16"/>
    </w:rPr>
  </w:style>
  <w:style w:type="character" w:customStyle="1" w:styleId="BezproredaChar1">
    <w:name w:val="Bez proreda Char1"/>
    <w:link w:val="Bezproreda"/>
    <w:uiPriority w:val="1"/>
    <w:locked/>
    <w:rsid w:val="00E732EF"/>
    <w:rPr>
      <w:rFonts w:ascii="Calibri" w:eastAsia="Calibri" w:hAnsi="Calibri" w:cs="Arial"/>
    </w:rPr>
  </w:style>
  <w:style w:type="paragraph" w:styleId="Zaglavlje">
    <w:name w:val="header"/>
    <w:basedOn w:val="Normal"/>
    <w:link w:val="ZaglavljeChar"/>
    <w:uiPriority w:val="99"/>
    <w:semiHidden/>
    <w:unhideWhenUsed/>
    <w:rsid w:val="00E732EF"/>
    <w:pPr>
      <w:tabs>
        <w:tab w:val="center" w:pos="4536"/>
        <w:tab w:val="right" w:pos="9072"/>
      </w:tabs>
      <w:spacing w:after="0" w:line="240" w:lineRule="auto"/>
    </w:pPr>
    <w:rPr>
      <w:rFonts w:ascii="Calibri" w:eastAsia="Calibri" w:hAnsi="Calibri" w:cs="Arial"/>
    </w:rPr>
  </w:style>
  <w:style w:type="character" w:customStyle="1" w:styleId="ZaglavljeChar">
    <w:name w:val="Zaglavlje Char"/>
    <w:basedOn w:val="Zadanifontodlomka"/>
    <w:link w:val="Zaglavlje"/>
    <w:uiPriority w:val="99"/>
    <w:semiHidden/>
    <w:rsid w:val="00E732EF"/>
    <w:rPr>
      <w:rFonts w:ascii="Calibri" w:eastAsia="Calibri" w:hAnsi="Calibri" w:cs="Arial"/>
    </w:rPr>
  </w:style>
  <w:style w:type="paragraph" w:styleId="Podnoje">
    <w:name w:val="footer"/>
    <w:basedOn w:val="Normal"/>
    <w:link w:val="PodnojeChar"/>
    <w:uiPriority w:val="99"/>
    <w:unhideWhenUsed/>
    <w:rsid w:val="00E732EF"/>
    <w:pPr>
      <w:tabs>
        <w:tab w:val="center" w:pos="4536"/>
        <w:tab w:val="right" w:pos="9072"/>
      </w:tabs>
      <w:spacing w:after="0" w:line="240" w:lineRule="auto"/>
    </w:pPr>
    <w:rPr>
      <w:rFonts w:ascii="Calibri" w:eastAsia="Calibri" w:hAnsi="Calibri" w:cs="Arial"/>
    </w:rPr>
  </w:style>
  <w:style w:type="character" w:customStyle="1" w:styleId="PodnojeChar">
    <w:name w:val="Podnožje Char"/>
    <w:basedOn w:val="Zadanifontodlomka"/>
    <w:link w:val="Podnoje"/>
    <w:uiPriority w:val="99"/>
    <w:rsid w:val="00E732EF"/>
    <w:rPr>
      <w:rFonts w:ascii="Calibri" w:eastAsia="Calibri" w:hAnsi="Calibri" w:cs="Arial"/>
    </w:rPr>
  </w:style>
  <w:style w:type="paragraph" w:customStyle="1" w:styleId="Bezproreda1">
    <w:name w:val="Bez proreda1"/>
    <w:link w:val="BezproredaChar"/>
    <w:qFormat/>
    <w:rsid w:val="00E732EF"/>
    <w:pPr>
      <w:spacing w:after="0" w:line="240" w:lineRule="auto"/>
    </w:pPr>
    <w:rPr>
      <w:rFonts w:ascii="Calibri" w:eastAsia="Calibri" w:hAnsi="Calibri" w:cs="Times New Roman"/>
      <w:lang w:val="en-US"/>
    </w:rPr>
  </w:style>
  <w:style w:type="character" w:customStyle="1" w:styleId="NoSpacingChar">
    <w:name w:val="No Spacing Char"/>
    <w:uiPriority w:val="1"/>
    <w:locked/>
    <w:rsid w:val="00E732EF"/>
    <w:rPr>
      <w:rFonts w:cs="Times New Roman"/>
      <w:sz w:val="22"/>
      <w:szCs w:val="22"/>
      <w:lang w:val="hr-HR" w:eastAsia="en-US" w:bidi="ar-SA"/>
    </w:rPr>
  </w:style>
  <w:style w:type="paragraph" w:styleId="Tekstfusnote">
    <w:name w:val="footnote text"/>
    <w:basedOn w:val="Normal"/>
    <w:link w:val="TekstfusnoteChar"/>
    <w:uiPriority w:val="99"/>
    <w:semiHidden/>
    <w:unhideWhenUsed/>
    <w:rsid w:val="00E732EF"/>
    <w:rPr>
      <w:rFonts w:ascii="Calibri" w:eastAsia="Calibri" w:hAnsi="Calibri" w:cs="Arial"/>
      <w:sz w:val="20"/>
      <w:szCs w:val="20"/>
    </w:rPr>
  </w:style>
  <w:style w:type="character" w:customStyle="1" w:styleId="TekstfusnoteChar">
    <w:name w:val="Tekst fusnote Char"/>
    <w:basedOn w:val="Zadanifontodlomka"/>
    <w:link w:val="Tekstfusnote"/>
    <w:uiPriority w:val="99"/>
    <w:semiHidden/>
    <w:rsid w:val="00E732EF"/>
    <w:rPr>
      <w:rFonts w:ascii="Calibri" w:eastAsia="Calibri" w:hAnsi="Calibri" w:cs="Arial"/>
      <w:sz w:val="20"/>
      <w:szCs w:val="20"/>
    </w:rPr>
  </w:style>
  <w:style w:type="character" w:styleId="Referencafusnote">
    <w:name w:val="footnote reference"/>
    <w:uiPriority w:val="99"/>
    <w:semiHidden/>
    <w:unhideWhenUsed/>
    <w:rsid w:val="00E732EF"/>
    <w:rPr>
      <w:vertAlign w:val="superscript"/>
    </w:rPr>
  </w:style>
  <w:style w:type="paragraph" w:customStyle="1" w:styleId="NASLOVar11">
    <w:name w:val="NASLOVar11"/>
    <w:basedOn w:val="Normal"/>
    <w:rsid w:val="00E732EF"/>
    <w:pPr>
      <w:numPr>
        <w:ilvl w:val="1"/>
        <w:numId w:val="18"/>
      </w:numPr>
      <w:tabs>
        <w:tab w:val="clear" w:pos="792"/>
        <w:tab w:val="num" w:pos="360"/>
      </w:tabs>
      <w:spacing w:before="360" w:after="240" w:line="240" w:lineRule="auto"/>
      <w:ind w:left="360" w:hanging="360"/>
      <w:jc w:val="both"/>
      <w:outlineLvl w:val="0"/>
    </w:pPr>
    <w:rPr>
      <w:rFonts w:ascii="Arial" w:eastAsia="Times New Roman" w:hAnsi="Arial" w:cs="Times New Roman"/>
      <w:b/>
      <w:caps/>
      <w:lang w:val="en-GB" w:eastAsia="hr-HR"/>
    </w:rPr>
  </w:style>
  <w:style w:type="paragraph" w:styleId="Tijeloteksta">
    <w:name w:val="Body Text"/>
    <w:basedOn w:val="Normal"/>
    <w:link w:val="TijelotekstaChar"/>
    <w:rsid w:val="00E732EF"/>
    <w:pPr>
      <w:numPr>
        <w:numId w:val="18"/>
      </w:numPr>
      <w:tabs>
        <w:tab w:val="clear" w:pos="360"/>
      </w:tabs>
      <w:spacing w:after="120" w:line="240" w:lineRule="auto"/>
      <w:ind w:left="0" w:firstLine="0"/>
    </w:pPr>
    <w:rPr>
      <w:rFonts w:ascii="Times New Roman" w:eastAsia="Times New Roman" w:hAnsi="Times New Roman" w:cs="Times New Roman"/>
      <w:sz w:val="20"/>
      <w:szCs w:val="20"/>
    </w:rPr>
  </w:style>
  <w:style w:type="character" w:customStyle="1" w:styleId="TijelotekstaChar">
    <w:name w:val="Tijelo teksta Char"/>
    <w:basedOn w:val="Zadanifontodlomka"/>
    <w:link w:val="Tijeloteksta"/>
    <w:rsid w:val="00E732EF"/>
    <w:rPr>
      <w:rFonts w:ascii="Times New Roman" w:eastAsia="Times New Roman" w:hAnsi="Times New Roman" w:cs="Times New Roman"/>
      <w:sz w:val="20"/>
      <w:szCs w:val="20"/>
    </w:rPr>
  </w:style>
  <w:style w:type="paragraph" w:styleId="Uvuenotijeloteksta">
    <w:name w:val="Body Text Indent"/>
    <w:basedOn w:val="Normal"/>
    <w:link w:val="UvuenotijelotekstaChar"/>
    <w:uiPriority w:val="99"/>
    <w:semiHidden/>
    <w:unhideWhenUsed/>
    <w:rsid w:val="00E732EF"/>
    <w:pPr>
      <w:spacing w:after="120"/>
      <w:ind w:left="283"/>
    </w:pPr>
    <w:rPr>
      <w:rFonts w:ascii="Calibri" w:eastAsia="Calibri" w:hAnsi="Calibri" w:cs="Arial"/>
    </w:rPr>
  </w:style>
  <w:style w:type="character" w:customStyle="1" w:styleId="UvuenotijelotekstaChar">
    <w:name w:val="Uvučeno tijelo teksta Char"/>
    <w:basedOn w:val="Zadanifontodlomka"/>
    <w:link w:val="Uvuenotijeloteksta"/>
    <w:uiPriority w:val="99"/>
    <w:semiHidden/>
    <w:rsid w:val="00E732EF"/>
    <w:rPr>
      <w:rFonts w:ascii="Calibri" w:eastAsia="Calibri" w:hAnsi="Calibri" w:cs="Arial"/>
    </w:rPr>
  </w:style>
  <w:style w:type="paragraph" w:customStyle="1" w:styleId="marine">
    <w:name w:val="marine"/>
    <w:basedOn w:val="Normal"/>
    <w:rsid w:val="00E732EF"/>
    <w:pPr>
      <w:spacing w:after="0" w:line="240" w:lineRule="auto"/>
      <w:jc w:val="both"/>
    </w:pPr>
    <w:rPr>
      <w:rFonts w:ascii="CRO_Korinna" w:eastAsia="Times New Roman" w:hAnsi="CRO_Korinna" w:cs="Times New Roman"/>
      <w:szCs w:val="20"/>
    </w:rPr>
  </w:style>
  <w:style w:type="paragraph" w:styleId="Tijeloteksta2">
    <w:name w:val="Body Text 2"/>
    <w:basedOn w:val="Normal"/>
    <w:link w:val="Tijeloteksta2Char"/>
    <w:uiPriority w:val="99"/>
    <w:semiHidden/>
    <w:unhideWhenUsed/>
    <w:rsid w:val="00E732EF"/>
    <w:pPr>
      <w:spacing w:after="120" w:line="480" w:lineRule="auto"/>
    </w:pPr>
    <w:rPr>
      <w:rFonts w:ascii="Calibri" w:eastAsia="Calibri" w:hAnsi="Calibri" w:cs="Arial"/>
    </w:rPr>
  </w:style>
  <w:style w:type="character" w:customStyle="1" w:styleId="Tijeloteksta2Char">
    <w:name w:val="Tijelo teksta 2 Char"/>
    <w:basedOn w:val="Zadanifontodlomka"/>
    <w:link w:val="Tijeloteksta2"/>
    <w:uiPriority w:val="99"/>
    <w:semiHidden/>
    <w:rsid w:val="00E732EF"/>
    <w:rPr>
      <w:rFonts w:ascii="Calibri" w:eastAsia="Calibri" w:hAnsi="Calibri" w:cs="Arial"/>
    </w:rPr>
  </w:style>
  <w:style w:type="paragraph" w:customStyle="1" w:styleId="Style1">
    <w:name w:val="Style1"/>
    <w:basedOn w:val="Normal"/>
    <w:rsid w:val="00E732EF"/>
    <w:pPr>
      <w:spacing w:before="120" w:after="120" w:line="240" w:lineRule="auto"/>
      <w:jc w:val="both"/>
    </w:pPr>
    <w:rPr>
      <w:rFonts w:ascii="Arial" w:eastAsia="Times New Roman" w:hAnsi="Arial" w:cs="Times New Roman"/>
      <w:szCs w:val="20"/>
    </w:rPr>
  </w:style>
  <w:style w:type="paragraph" w:customStyle="1" w:styleId="tekst11">
    <w:name w:val="tekst11"/>
    <w:basedOn w:val="Normal"/>
    <w:rsid w:val="00E732EF"/>
    <w:pPr>
      <w:spacing w:after="0" w:line="288" w:lineRule="auto"/>
      <w:ind w:firstLine="709"/>
      <w:jc w:val="both"/>
    </w:pPr>
    <w:rPr>
      <w:rFonts w:ascii="Arial" w:eastAsia="Times New Roman" w:hAnsi="Arial" w:cs="Times New Roman"/>
      <w:lang w:eastAsia="hr-HR"/>
    </w:rPr>
  </w:style>
  <w:style w:type="character" w:styleId="Hiperveza">
    <w:name w:val="Hyperlink"/>
    <w:uiPriority w:val="99"/>
    <w:unhideWhenUsed/>
    <w:rsid w:val="00E732EF"/>
    <w:rPr>
      <w:color w:val="0000FF"/>
      <w:u w:val="single"/>
    </w:rPr>
  </w:style>
  <w:style w:type="character" w:customStyle="1" w:styleId="BezproredaChar">
    <w:name w:val="Bez proreda Char"/>
    <w:link w:val="Bezproreda1"/>
    <w:rsid w:val="00E732EF"/>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emf"/><Relationship Id="rId18" Type="http://schemas.openxmlformats.org/officeDocument/2006/relationships/hyperlink" Target="https://hr.wikipedia.org/wiki/Stabilnost" TargetMode="External"/><Relationship Id="rId26" Type="http://schemas.openxmlformats.org/officeDocument/2006/relationships/hyperlink" Target="https://hr.wikipedia.org/wiki/Potres" TargetMode="External"/><Relationship Id="rId39" Type="http://schemas.openxmlformats.org/officeDocument/2006/relationships/image" Target="media/image16.png"/><Relationship Id="rId3" Type="http://schemas.openxmlformats.org/officeDocument/2006/relationships/settings" Target="settings.xml"/><Relationship Id="rId21" Type="http://schemas.openxmlformats.org/officeDocument/2006/relationships/hyperlink" Target="https://hr.wikipedia.org/w/index.php?title=Sloj&amp;action=edit&amp;redlink=1" TargetMode="External"/><Relationship Id="rId34" Type="http://schemas.openxmlformats.org/officeDocument/2006/relationships/hyperlink" Target="https://hr.wikipedia.org/wiki/Vegetacija" TargetMode="External"/><Relationship Id="rId42" Type="http://schemas.openxmlformats.org/officeDocument/2006/relationships/image" Target="media/image19.png"/><Relationship Id="rId47"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emf"/><Relationship Id="rId17" Type="http://schemas.openxmlformats.org/officeDocument/2006/relationships/hyperlink" Target="https://hr.wikipedia.org/wiki/Padina" TargetMode="External"/><Relationship Id="rId25" Type="http://schemas.openxmlformats.org/officeDocument/2006/relationships/hyperlink" Target="https://hr.wikipedia.org/wiki/Tektonika_plo%C4%8Da" TargetMode="External"/><Relationship Id="rId33" Type="http://schemas.openxmlformats.org/officeDocument/2006/relationships/hyperlink" Target="https://hr.wikipedia.org/w/index.php?title=Potporni_zid&amp;action=edit&amp;redlink=1" TargetMode="External"/><Relationship Id="rId38" Type="http://schemas.openxmlformats.org/officeDocument/2006/relationships/image" Target="media/image15.png"/><Relationship Id="rId46"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hyperlink" Target="https://hr.wikipedia.org/wiki/Tlo" TargetMode="External"/><Relationship Id="rId29" Type="http://schemas.openxmlformats.org/officeDocument/2006/relationships/hyperlink" Target="https://hr.wikipedia.org/wiki/Plasti%C4%8Dnost" TargetMode="External"/><Relationship Id="rId41" Type="http://schemas.openxmlformats.org/officeDocument/2006/relationships/image" Target="media/image1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emf"/><Relationship Id="rId24" Type="http://schemas.openxmlformats.org/officeDocument/2006/relationships/hyperlink" Target="https://hr.wikipedia.org/wiki/Zrak" TargetMode="External"/><Relationship Id="rId32" Type="http://schemas.openxmlformats.org/officeDocument/2006/relationships/hyperlink" Target="https://hr.wikipedia.org/w/index.php?title=Drena%C5%BEa&amp;action=edit&amp;redlink=1" TargetMode="External"/><Relationship Id="rId37" Type="http://schemas.openxmlformats.org/officeDocument/2006/relationships/image" Target="media/image14.png"/><Relationship Id="rId40" Type="http://schemas.openxmlformats.org/officeDocument/2006/relationships/image" Target="media/image17.png"/><Relationship Id="rId45" Type="http://schemas.openxmlformats.org/officeDocument/2006/relationships/hyperlink" Target="http://www.mfin.hr" TargetMode="External"/><Relationship Id="rId5" Type="http://schemas.openxmlformats.org/officeDocument/2006/relationships/footnotes" Target="footnotes.xml"/><Relationship Id="rId15" Type="http://schemas.openxmlformats.org/officeDocument/2006/relationships/image" Target="media/image10.emf"/><Relationship Id="rId23" Type="http://schemas.openxmlformats.org/officeDocument/2006/relationships/hyperlink" Target="https://hr.wikipedia.org/wiki/Temperatura" TargetMode="External"/><Relationship Id="rId28" Type="http://schemas.openxmlformats.org/officeDocument/2006/relationships/hyperlink" Target="https://hr.wikipedia.org/wiki/Glina_(tlo)" TargetMode="External"/><Relationship Id="rId36" Type="http://schemas.openxmlformats.org/officeDocument/2006/relationships/image" Target="media/image13.emf"/><Relationship Id="rId10" Type="http://schemas.openxmlformats.org/officeDocument/2006/relationships/image" Target="media/image5.emf"/><Relationship Id="rId19" Type="http://schemas.openxmlformats.org/officeDocument/2006/relationships/hyperlink" Target="https://hr.wikipedia.org/wiki/Tlo" TargetMode="External"/><Relationship Id="rId31" Type="http://schemas.openxmlformats.org/officeDocument/2006/relationships/hyperlink" Target="https://hr.wikipedia.org/wiki/Gra%C4%91evinarstvo" TargetMode="External"/><Relationship Id="rId44" Type="http://schemas.openxmlformats.org/officeDocument/2006/relationships/image" Target="media/image21.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emf"/><Relationship Id="rId22" Type="http://schemas.openxmlformats.org/officeDocument/2006/relationships/hyperlink" Target="https://hr.wikipedia.org/wiki/Podzemne_vode" TargetMode="External"/><Relationship Id="rId27" Type="http://schemas.openxmlformats.org/officeDocument/2006/relationships/hyperlink" Target="https://hr.wikipedia.org/wiki/Vegetacija" TargetMode="External"/><Relationship Id="rId30" Type="http://schemas.openxmlformats.org/officeDocument/2006/relationships/hyperlink" Target="https://hr.wikipedia.org/w/index.php?title=Sanacija&amp;action=edit&amp;redlink=1" TargetMode="External"/><Relationship Id="rId35" Type="http://schemas.openxmlformats.org/officeDocument/2006/relationships/image" Target="media/image12.emf"/><Relationship Id="rId43" Type="http://schemas.openxmlformats.org/officeDocument/2006/relationships/image" Target="media/image20.png"/><Relationship Id="rId48"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164</TotalTime>
  <Pages>39</Pages>
  <Words>16017</Words>
  <Characters>91297</Characters>
  <Application>Microsoft Office Word</Application>
  <DocSecurity>0</DocSecurity>
  <Lines>760</Lines>
  <Paragraphs>214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107100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Danijela</dc:creator>
  <cp:lastModifiedBy>Danijela Turk</cp:lastModifiedBy>
  <cp:revision>8</cp:revision>
  <cp:lastPrinted>2022-12-30T05:52:00Z</cp:lastPrinted>
  <dcterms:created xsi:type="dcterms:W3CDTF">2022-12-30T07:04:00Z</dcterms:created>
  <dcterms:modified xsi:type="dcterms:W3CDTF">2025-10-01T11:22:00Z</dcterms:modified>
</cp:coreProperties>
</file>