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FC" w:rsidRPr="003914F5" w:rsidRDefault="00A168FC" w:rsidP="00A168FC">
      <w:pPr>
        <w:widowControl w:val="0"/>
        <w:overflowPunct/>
        <w:autoSpaceDE/>
        <w:autoSpaceDN/>
        <w:adjustRightInd/>
        <w:spacing w:after="60"/>
        <w:ind w:firstLine="0"/>
        <w:textAlignment w:val="auto"/>
        <w:rPr>
          <w:szCs w:val="20"/>
        </w:rPr>
      </w:pPr>
      <w:r w:rsidRPr="003914F5">
        <w:rPr>
          <w:szCs w:val="20"/>
        </w:rPr>
        <w:t>Na temelju članka 109. stavka 4.</w:t>
      </w:r>
      <w:r>
        <w:rPr>
          <w:szCs w:val="20"/>
        </w:rPr>
        <w:t xml:space="preserve"> </w:t>
      </w:r>
      <w:r w:rsidRPr="003914F5">
        <w:rPr>
          <w:szCs w:val="20"/>
        </w:rPr>
        <w:t>i članka 198. Zakona o prostornom uređenju („Narodne novine“ broj 153/13, 65/17, 114</w:t>
      </w:r>
      <w:r>
        <w:rPr>
          <w:szCs w:val="20"/>
        </w:rPr>
        <w:t xml:space="preserve">/18, 39/19, 98/19.), članka 28. </w:t>
      </w:r>
      <w:r w:rsidRPr="003914F5">
        <w:rPr>
          <w:szCs w:val="20"/>
        </w:rPr>
        <w:t xml:space="preserve">Statuta </w:t>
      </w:r>
      <w:r>
        <w:rPr>
          <w:szCs w:val="20"/>
        </w:rPr>
        <w:t xml:space="preserve">Općine Sveti Juraj na Bregu </w:t>
      </w:r>
      <w:r w:rsidRPr="003914F5">
        <w:rPr>
          <w:szCs w:val="20"/>
        </w:rPr>
        <w:t xml:space="preserve">(„Službeni </w:t>
      </w:r>
      <w:r>
        <w:rPr>
          <w:szCs w:val="20"/>
        </w:rPr>
        <w:t>glasnik Međimurske županije“</w:t>
      </w:r>
      <w:r>
        <w:rPr>
          <w:szCs w:val="20"/>
        </w:rPr>
        <w:t>,</w:t>
      </w:r>
      <w:r>
        <w:rPr>
          <w:szCs w:val="20"/>
        </w:rPr>
        <w:t xml:space="preserve"> broj 08/21.</w:t>
      </w:r>
      <w:r w:rsidRPr="003914F5">
        <w:rPr>
          <w:szCs w:val="20"/>
        </w:rPr>
        <w:t>)</w:t>
      </w:r>
      <w:r>
        <w:rPr>
          <w:szCs w:val="20"/>
        </w:rPr>
        <w:t>,</w:t>
      </w:r>
      <w:r w:rsidRPr="003914F5">
        <w:rPr>
          <w:szCs w:val="20"/>
        </w:rPr>
        <w:t xml:space="preserve"> </w:t>
      </w:r>
      <w:r>
        <w:rPr>
          <w:szCs w:val="20"/>
        </w:rPr>
        <w:t xml:space="preserve">Odluke </w:t>
      </w:r>
      <w:r w:rsidRPr="003A18C1">
        <w:rPr>
          <w:szCs w:val="20"/>
        </w:rPr>
        <w:t>o izradi III. ciljanih izmjena i dopuna Prostornog plana</w:t>
      </w:r>
      <w:r>
        <w:rPr>
          <w:szCs w:val="20"/>
        </w:rPr>
        <w:t xml:space="preserve"> </w:t>
      </w:r>
      <w:r w:rsidRPr="003A18C1">
        <w:rPr>
          <w:szCs w:val="20"/>
        </w:rPr>
        <w:t>uređenja Općine Sveti Juraj na Bregu</w:t>
      </w:r>
      <w:r>
        <w:rPr>
          <w:szCs w:val="20"/>
        </w:rPr>
        <w:t xml:space="preserve"> </w:t>
      </w:r>
      <w:r w:rsidRPr="00855BB3">
        <w:rPr>
          <w:szCs w:val="20"/>
        </w:rPr>
        <w:t xml:space="preserve">(„Službeni glasnik Međimurske županije“ broj </w:t>
      </w:r>
      <w:r>
        <w:rPr>
          <w:szCs w:val="20"/>
        </w:rPr>
        <w:t>10/22</w:t>
      </w:r>
      <w:r>
        <w:rPr>
          <w:szCs w:val="20"/>
        </w:rPr>
        <w:t>.</w:t>
      </w:r>
      <w:r w:rsidRPr="00855BB3">
        <w:rPr>
          <w:szCs w:val="20"/>
        </w:rPr>
        <w:t xml:space="preserve">), </w:t>
      </w:r>
      <w:r>
        <w:rPr>
          <w:szCs w:val="20"/>
        </w:rPr>
        <w:t>Općinsko vijeće Općine Sveti Juraj na Bregu n</w:t>
      </w:r>
      <w:r>
        <w:rPr>
          <w:szCs w:val="20"/>
        </w:rPr>
        <w:t xml:space="preserve">a 12. sjednici održanoj 30. ožujka 2023. godine, </w:t>
      </w:r>
      <w:r w:rsidRPr="003914F5">
        <w:rPr>
          <w:szCs w:val="20"/>
        </w:rPr>
        <w:t>donijelo je:</w:t>
      </w:r>
    </w:p>
    <w:p w:rsidR="00A168FC" w:rsidRDefault="00A168FC" w:rsidP="00A168FC">
      <w:pPr>
        <w:ind w:firstLine="0"/>
        <w:rPr>
          <w:szCs w:val="20"/>
        </w:rPr>
      </w:pPr>
    </w:p>
    <w:p w:rsidR="00A168FC" w:rsidRPr="00EA1CC4" w:rsidRDefault="00A168FC" w:rsidP="00A168FC">
      <w:pPr>
        <w:ind w:firstLine="0"/>
        <w:rPr>
          <w:szCs w:val="20"/>
        </w:rPr>
      </w:pPr>
    </w:p>
    <w:p w:rsidR="00A168FC" w:rsidRDefault="00A168FC" w:rsidP="00A168FC">
      <w:pPr>
        <w:ind w:firstLine="0"/>
        <w:jc w:val="center"/>
        <w:rPr>
          <w:b/>
          <w:bCs/>
          <w:sz w:val="24"/>
        </w:rPr>
      </w:pPr>
      <w:r w:rsidRPr="00FC79D2">
        <w:rPr>
          <w:b/>
          <w:bCs/>
          <w:sz w:val="24"/>
        </w:rPr>
        <w:t>ODLUKU</w:t>
      </w:r>
    </w:p>
    <w:p w:rsidR="00A168FC" w:rsidRPr="00604127" w:rsidRDefault="00A168FC" w:rsidP="00A168FC">
      <w:pPr>
        <w:ind w:firstLine="0"/>
        <w:rPr>
          <w:szCs w:val="20"/>
        </w:rPr>
      </w:pPr>
    </w:p>
    <w:p w:rsidR="00A168FC" w:rsidRPr="00FC79D2" w:rsidRDefault="00A168FC" w:rsidP="00A168FC">
      <w:pPr>
        <w:ind w:firstLine="0"/>
        <w:jc w:val="center"/>
        <w:rPr>
          <w:b/>
          <w:bCs/>
          <w:sz w:val="24"/>
        </w:rPr>
      </w:pPr>
      <w:r w:rsidRPr="00FC79D2">
        <w:rPr>
          <w:b/>
          <w:bCs/>
          <w:sz w:val="24"/>
        </w:rPr>
        <w:t xml:space="preserve">o donošenju </w:t>
      </w:r>
      <w:r>
        <w:rPr>
          <w:b/>
          <w:bCs/>
          <w:sz w:val="24"/>
        </w:rPr>
        <w:t>III</w:t>
      </w:r>
      <w:r w:rsidRPr="00FC79D2">
        <w:rPr>
          <w:b/>
          <w:bCs/>
          <w:sz w:val="24"/>
        </w:rPr>
        <w:t>. izmjena i dopuna</w:t>
      </w:r>
    </w:p>
    <w:p w:rsidR="00A168FC" w:rsidRPr="00FC79D2" w:rsidRDefault="00A168FC" w:rsidP="00A168FC">
      <w:pPr>
        <w:ind w:firstLine="0"/>
        <w:jc w:val="center"/>
        <w:rPr>
          <w:b/>
          <w:bCs/>
          <w:sz w:val="24"/>
        </w:rPr>
      </w:pPr>
      <w:r w:rsidRPr="00FC79D2">
        <w:rPr>
          <w:b/>
          <w:bCs/>
          <w:sz w:val="24"/>
        </w:rPr>
        <w:t xml:space="preserve">Prostornog plana uređenja Općine </w:t>
      </w:r>
      <w:r>
        <w:rPr>
          <w:b/>
          <w:bCs/>
          <w:sz w:val="24"/>
        </w:rPr>
        <w:t>Sveti Juraj na Bregu</w:t>
      </w:r>
    </w:p>
    <w:p w:rsidR="00A168FC" w:rsidRDefault="00A168FC" w:rsidP="00A168FC">
      <w:pPr>
        <w:ind w:firstLine="0"/>
        <w:rPr>
          <w:szCs w:val="20"/>
        </w:rPr>
      </w:pPr>
    </w:p>
    <w:p w:rsidR="00A168FC" w:rsidRPr="00EA1CC4" w:rsidRDefault="00A168FC" w:rsidP="00A168FC">
      <w:pPr>
        <w:ind w:firstLine="0"/>
        <w:rPr>
          <w:szCs w:val="20"/>
        </w:rPr>
      </w:pPr>
    </w:p>
    <w:p w:rsidR="00A168FC" w:rsidRPr="003E2BA4" w:rsidRDefault="00A168FC" w:rsidP="00A168FC">
      <w:pPr>
        <w:pStyle w:val="Odlomakpopisa"/>
        <w:numPr>
          <w:ilvl w:val="0"/>
          <w:numId w:val="4"/>
        </w:numPr>
        <w:overflowPunct/>
        <w:autoSpaceDE/>
        <w:autoSpaceDN/>
        <w:adjustRightInd/>
        <w:spacing w:before="360" w:after="480"/>
        <w:jc w:val="left"/>
        <w:textAlignment w:val="auto"/>
        <w:rPr>
          <w:b/>
          <w:sz w:val="24"/>
        </w:rPr>
      </w:pPr>
      <w:bookmarkStart w:id="0" w:name="_Toc83112024"/>
      <w:bookmarkStart w:id="1" w:name="_Toc83175622"/>
      <w:r w:rsidRPr="003E2BA4">
        <w:rPr>
          <w:b/>
          <w:sz w:val="24"/>
        </w:rPr>
        <w:t>OPĆE ODREDBE</w:t>
      </w:r>
      <w:bookmarkEnd w:id="0"/>
      <w:bookmarkEnd w:id="1"/>
    </w:p>
    <w:p w:rsidR="00A168FC" w:rsidRPr="00EA1CC4" w:rsidRDefault="00A168FC" w:rsidP="00A168FC">
      <w:pPr>
        <w:pStyle w:val="lanak"/>
      </w:pPr>
      <w:r w:rsidRPr="00EA1CC4">
        <w:t xml:space="preserve">Članak </w:t>
      </w:r>
      <w:r w:rsidRPr="00EA1CC4">
        <w:fldChar w:fldCharType="begin"/>
      </w:r>
      <w:r w:rsidRPr="00EA1CC4">
        <w:instrText xml:space="preserve">AUTONUM </w:instrText>
      </w:r>
      <w:r w:rsidRPr="00EA1CC4">
        <w:fldChar w:fldCharType="separate"/>
      </w:r>
      <w:r w:rsidRPr="00EA1CC4">
        <w:t>1.</w:t>
      </w:r>
      <w:r w:rsidRPr="00EA1CC4">
        <w:fldChar w:fldCharType="end"/>
      </w:r>
    </w:p>
    <w:p w:rsidR="00A168FC" w:rsidRDefault="00A168FC" w:rsidP="00A168FC">
      <w:pPr>
        <w:pStyle w:val="Normalstavci"/>
        <w:numPr>
          <w:ilvl w:val="0"/>
          <w:numId w:val="38"/>
        </w:numPr>
      </w:pPr>
      <w:r w:rsidRPr="003914F5">
        <w:t xml:space="preserve">Donosi se Odluka o donošenju </w:t>
      </w:r>
      <w:r>
        <w:t>III.</w:t>
      </w:r>
      <w:r w:rsidRPr="003914F5">
        <w:t xml:space="preserve"> izmjena i dopuna Prostornog plana uređenja Općine </w:t>
      </w:r>
      <w:r>
        <w:t xml:space="preserve">Sveti Juraj na Bregu </w:t>
      </w:r>
      <w:r w:rsidRPr="00EF5B8F">
        <w:t>(„Službeni glasnik Međimurske županije“ broj</w:t>
      </w:r>
      <w:r>
        <w:t xml:space="preserve"> 4/06, 10/15, 20/19, 2/20 - pročišćeni tekst); </w:t>
      </w:r>
      <w:r w:rsidRPr="003914F5">
        <w:t>(u daljnjem tekstu: Odluka).</w:t>
      </w:r>
    </w:p>
    <w:p w:rsidR="00A168FC" w:rsidRDefault="00A168FC" w:rsidP="00A168FC">
      <w:pPr>
        <w:pStyle w:val="Normalstavci"/>
        <w:numPr>
          <w:ilvl w:val="0"/>
          <w:numId w:val="38"/>
        </w:numPr>
      </w:pPr>
      <w:r>
        <w:t>III. izmjene i dopune Prostornog plana uređenja Općine Sveti Juraj na Bregu donose se kao ciljane.</w:t>
      </w:r>
    </w:p>
    <w:p w:rsidR="00A168FC" w:rsidRPr="00EA1CC4" w:rsidRDefault="00A168FC" w:rsidP="00A168FC">
      <w:pPr>
        <w:pStyle w:val="lanak"/>
      </w:pPr>
      <w:r w:rsidRPr="00EA1CC4">
        <w:t xml:space="preserve">Članak </w:t>
      </w:r>
      <w:r w:rsidRPr="00EA1CC4">
        <w:fldChar w:fldCharType="begin"/>
      </w:r>
      <w:r w:rsidRPr="00EA1CC4">
        <w:instrText xml:space="preserve">AUTONUM </w:instrText>
      </w:r>
      <w:r w:rsidRPr="00EA1CC4">
        <w:fldChar w:fldCharType="separate"/>
      </w:r>
      <w:r w:rsidRPr="00EA1CC4">
        <w:t>1.</w:t>
      </w:r>
      <w:r w:rsidRPr="00EA1CC4">
        <w:fldChar w:fldCharType="end"/>
      </w:r>
    </w:p>
    <w:p w:rsidR="00A168FC" w:rsidRPr="003914F5" w:rsidRDefault="00A168FC" w:rsidP="00A168FC">
      <w:pPr>
        <w:pStyle w:val="Normalstavci"/>
        <w:numPr>
          <w:ilvl w:val="0"/>
          <w:numId w:val="8"/>
        </w:numPr>
      </w:pPr>
      <w:r w:rsidRPr="003914F5">
        <w:t>Sastavni dio Odluke je provedbeni dio Elaborata: „</w:t>
      </w:r>
      <w:r>
        <w:t>III</w:t>
      </w:r>
      <w:r w:rsidRPr="00DF4987">
        <w:t>. izmjen</w:t>
      </w:r>
      <w:r>
        <w:t>e</w:t>
      </w:r>
      <w:r w:rsidRPr="00DF4987">
        <w:t xml:space="preserve"> i dopun</w:t>
      </w:r>
      <w:r>
        <w:t>e</w:t>
      </w:r>
      <w:r w:rsidRPr="00DF4987">
        <w:t xml:space="preserve"> Prostornog plana uređenja Općine </w:t>
      </w:r>
      <w:r>
        <w:t>Sveti Juraj na Bregu</w:t>
      </w:r>
      <w:r w:rsidRPr="003914F5">
        <w:t>“ (u daljnjem tekstu: Elaborat).</w:t>
      </w:r>
    </w:p>
    <w:p w:rsidR="00A168FC" w:rsidRPr="003914F5" w:rsidRDefault="00A168FC" w:rsidP="00A168FC">
      <w:pPr>
        <w:pStyle w:val="Normalstavci"/>
        <w:numPr>
          <w:ilvl w:val="0"/>
          <w:numId w:val="38"/>
        </w:numPr>
      </w:pPr>
      <w:r w:rsidRPr="003914F5">
        <w:t xml:space="preserve">Elaborat je izradila tvrtka </w:t>
      </w:r>
      <w:proofErr w:type="spellStart"/>
      <w:r w:rsidRPr="003914F5">
        <w:t>Urbia</w:t>
      </w:r>
      <w:proofErr w:type="spellEnd"/>
      <w:r w:rsidRPr="003914F5">
        <w:t xml:space="preserve"> d.o.o. Čakovec.</w:t>
      </w:r>
    </w:p>
    <w:p w:rsidR="00A168FC" w:rsidRPr="003914F5" w:rsidRDefault="00A168FC" w:rsidP="00A168FC">
      <w:pPr>
        <w:pStyle w:val="Normalstavci"/>
        <w:numPr>
          <w:ilvl w:val="0"/>
          <w:numId w:val="38"/>
        </w:numPr>
      </w:pPr>
      <w:r w:rsidRPr="003914F5">
        <w:t>Elaborat sadrži opće priloge, tekstualne i grafičke dijelove za provedbu i obrazloženje.</w:t>
      </w:r>
    </w:p>
    <w:p w:rsidR="00A168FC" w:rsidRPr="003914F5" w:rsidRDefault="00A168FC" w:rsidP="00A168FC">
      <w:pPr>
        <w:pStyle w:val="Normalstavci"/>
        <w:numPr>
          <w:ilvl w:val="0"/>
          <w:numId w:val="38"/>
        </w:numPr>
      </w:pPr>
      <w:r w:rsidRPr="003914F5">
        <w:t>Opći prilozi sadrže obrazac prostornog plana s podacima o nositelju izrade i podatke o izrađivaču.</w:t>
      </w:r>
    </w:p>
    <w:p w:rsidR="00A168FC" w:rsidRPr="003914F5" w:rsidRDefault="00A168FC" w:rsidP="00A168FC">
      <w:pPr>
        <w:pStyle w:val="Normalstavci"/>
        <w:numPr>
          <w:ilvl w:val="0"/>
          <w:numId w:val="38"/>
        </w:numPr>
      </w:pPr>
      <w:r w:rsidRPr="003914F5">
        <w:t>Tekstualni dio sadrži odredbe za provedbu</w:t>
      </w:r>
      <w:r>
        <w:t>.</w:t>
      </w:r>
    </w:p>
    <w:p w:rsidR="00A168FC" w:rsidRDefault="00A168FC" w:rsidP="00A168FC">
      <w:pPr>
        <w:pStyle w:val="Normalstavci"/>
        <w:numPr>
          <w:ilvl w:val="0"/>
          <w:numId w:val="38"/>
        </w:numPr>
      </w:pPr>
      <w:r w:rsidRPr="00EA1CC4">
        <w:t>Grafički dio sadrži kartografsk</w:t>
      </w:r>
      <w:r>
        <w:t>e</w:t>
      </w:r>
      <w:r w:rsidRPr="00EA1CC4">
        <w:t xml:space="preserve"> prikaz</w:t>
      </w:r>
      <w:r>
        <w:t>e</w:t>
      </w:r>
      <w:r w:rsidRPr="00EA1CC4">
        <w:t>:</w:t>
      </w:r>
    </w:p>
    <w:p w:rsidR="00A168FC" w:rsidRDefault="00A168FC" w:rsidP="00A168FC">
      <w:pPr>
        <w:rPr>
          <w:szCs w:val="20"/>
        </w:rPr>
      </w:pPr>
    </w:p>
    <w:tbl>
      <w:tblPr>
        <w:tblW w:w="0" w:type="auto"/>
        <w:tblInd w:w="433" w:type="dxa"/>
        <w:tblBorders>
          <w:bottom w:val="single" w:sz="4" w:space="0" w:color="auto"/>
        </w:tblBorders>
        <w:tblLook w:val="01E0" w:firstRow="1" w:lastRow="1" w:firstColumn="1" w:lastColumn="1" w:noHBand="0" w:noVBand="0"/>
      </w:tblPr>
      <w:tblGrid>
        <w:gridCol w:w="723"/>
        <w:gridCol w:w="5818"/>
        <w:gridCol w:w="1554"/>
      </w:tblGrid>
      <w:tr w:rsidR="00A168FC" w:rsidRPr="003A18C1" w:rsidTr="0074782E">
        <w:tc>
          <w:tcPr>
            <w:tcW w:w="729" w:type="dxa"/>
            <w:tcBorders>
              <w:top w:val="single" w:sz="4" w:space="0" w:color="auto"/>
              <w:bottom w:val="single" w:sz="4" w:space="0" w:color="auto"/>
            </w:tcBorders>
            <w:shd w:val="clear" w:color="auto" w:fill="auto"/>
            <w:vAlign w:val="center"/>
          </w:tcPr>
          <w:p w:rsidR="00A168FC" w:rsidRPr="003A18C1" w:rsidRDefault="00A168FC" w:rsidP="0074782E">
            <w:pPr>
              <w:ind w:firstLine="0"/>
              <w:rPr>
                <w:szCs w:val="20"/>
              </w:rPr>
            </w:pPr>
            <w:r w:rsidRPr="003A18C1">
              <w:rPr>
                <w:szCs w:val="20"/>
              </w:rPr>
              <w:t>1.</w:t>
            </w:r>
          </w:p>
        </w:tc>
        <w:tc>
          <w:tcPr>
            <w:tcW w:w="5934" w:type="dxa"/>
            <w:tcBorders>
              <w:top w:val="single" w:sz="4" w:space="0" w:color="auto"/>
              <w:bottom w:val="single" w:sz="4" w:space="0" w:color="auto"/>
            </w:tcBorders>
            <w:shd w:val="clear" w:color="auto" w:fill="auto"/>
            <w:vAlign w:val="bottom"/>
          </w:tcPr>
          <w:p w:rsidR="00A168FC" w:rsidRPr="003A18C1" w:rsidRDefault="00A168FC" w:rsidP="0074782E">
            <w:pPr>
              <w:ind w:firstLine="0"/>
              <w:jc w:val="left"/>
              <w:rPr>
                <w:szCs w:val="20"/>
              </w:rPr>
            </w:pPr>
            <w:r w:rsidRPr="003A18C1">
              <w:rPr>
                <w:szCs w:val="20"/>
              </w:rPr>
              <w:t>KORIŠTENJE I NAMJENA POVRŠINA</w:t>
            </w:r>
          </w:p>
        </w:tc>
        <w:tc>
          <w:tcPr>
            <w:tcW w:w="1559" w:type="dxa"/>
            <w:tcBorders>
              <w:top w:val="single" w:sz="4" w:space="0" w:color="auto"/>
              <w:bottom w:val="single" w:sz="4" w:space="0" w:color="auto"/>
            </w:tcBorders>
            <w:shd w:val="clear" w:color="auto" w:fill="auto"/>
            <w:vAlign w:val="center"/>
          </w:tcPr>
          <w:p w:rsidR="00A168FC" w:rsidRPr="003A18C1" w:rsidRDefault="00A168FC" w:rsidP="0074782E">
            <w:pPr>
              <w:ind w:firstLine="0"/>
              <w:rPr>
                <w:szCs w:val="20"/>
              </w:rPr>
            </w:pPr>
            <w:r w:rsidRPr="003A18C1">
              <w:rPr>
                <w:szCs w:val="20"/>
              </w:rPr>
              <w:t>MJ=1:25.000</w:t>
            </w:r>
          </w:p>
        </w:tc>
      </w:tr>
      <w:tr w:rsidR="00A168FC" w:rsidRPr="003A18C1" w:rsidTr="0074782E">
        <w:tc>
          <w:tcPr>
            <w:tcW w:w="729" w:type="dxa"/>
            <w:tcBorders>
              <w:top w:val="single" w:sz="4" w:space="0" w:color="auto"/>
              <w:bottom w:val="single" w:sz="4" w:space="0" w:color="auto"/>
            </w:tcBorders>
            <w:shd w:val="clear" w:color="auto" w:fill="auto"/>
            <w:vAlign w:val="center"/>
          </w:tcPr>
          <w:p w:rsidR="00A168FC" w:rsidRPr="003A18C1" w:rsidRDefault="00A168FC" w:rsidP="0074782E">
            <w:pPr>
              <w:ind w:firstLine="0"/>
              <w:rPr>
                <w:szCs w:val="20"/>
              </w:rPr>
            </w:pPr>
            <w:r w:rsidRPr="003A18C1">
              <w:rPr>
                <w:szCs w:val="20"/>
              </w:rPr>
              <w:t>2.</w:t>
            </w:r>
          </w:p>
        </w:tc>
        <w:tc>
          <w:tcPr>
            <w:tcW w:w="5934" w:type="dxa"/>
            <w:tcBorders>
              <w:top w:val="single" w:sz="4" w:space="0" w:color="auto"/>
              <w:bottom w:val="single" w:sz="4" w:space="0" w:color="auto"/>
            </w:tcBorders>
            <w:shd w:val="clear" w:color="auto" w:fill="auto"/>
            <w:vAlign w:val="bottom"/>
          </w:tcPr>
          <w:p w:rsidR="00A168FC" w:rsidRPr="003A18C1" w:rsidRDefault="00A168FC" w:rsidP="0074782E">
            <w:pPr>
              <w:ind w:firstLine="0"/>
              <w:jc w:val="left"/>
              <w:rPr>
                <w:szCs w:val="20"/>
              </w:rPr>
            </w:pPr>
            <w:r w:rsidRPr="003A18C1">
              <w:rPr>
                <w:szCs w:val="20"/>
              </w:rPr>
              <w:t>INFRASTRUKTURNI SUSTAVI</w:t>
            </w:r>
          </w:p>
        </w:tc>
        <w:tc>
          <w:tcPr>
            <w:tcW w:w="1559" w:type="dxa"/>
            <w:tcBorders>
              <w:top w:val="single" w:sz="4" w:space="0" w:color="auto"/>
              <w:bottom w:val="single" w:sz="4" w:space="0" w:color="auto"/>
            </w:tcBorders>
            <w:shd w:val="clear" w:color="auto" w:fill="auto"/>
          </w:tcPr>
          <w:p w:rsidR="00A168FC" w:rsidRPr="003A18C1" w:rsidRDefault="00A168FC" w:rsidP="0074782E">
            <w:pPr>
              <w:ind w:firstLine="0"/>
              <w:rPr>
                <w:szCs w:val="20"/>
              </w:rPr>
            </w:pPr>
            <w:r w:rsidRPr="003A18C1">
              <w:rPr>
                <w:szCs w:val="20"/>
              </w:rPr>
              <w:t>MJ=1:25.000</w:t>
            </w:r>
          </w:p>
        </w:tc>
      </w:tr>
      <w:tr w:rsidR="00A168FC" w:rsidRPr="003A18C1" w:rsidTr="0074782E">
        <w:tc>
          <w:tcPr>
            <w:tcW w:w="729" w:type="dxa"/>
            <w:tcBorders>
              <w:top w:val="single" w:sz="4" w:space="0" w:color="auto"/>
              <w:bottom w:val="single" w:sz="4" w:space="0" w:color="auto"/>
            </w:tcBorders>
            <w:shd w:val="clear" w:color="auto" w:fill="auto"/>
            <w:vAlign w:val="center"/>
          </w:tcPr>
          <w:p w:rsidR="00A168FC" w:rsidRPr="003A18C1" w:rsidRDefault="00A168FC" w:rsidP="0074782E">
            <w:pPr>
              <w:ind w:firstLine="0"/>
              <w:rPr>
                <w:szCs w:val="20"/>
              </w:rPr>
            </w:pPr>
            <w:r w:rsidRPr="003A18C1">
              <w:rPr>
                <w:szCs w:val="20"/>
              </w:rPr>
              <w:t>2.1.</w:t>
            </w:r>
          </w:p>
        </w:tc>
        <w:tc>
          <w:tcPr>
            <w:tcW w:w="5934" w:type="dxa"/>
            <w:tcBorders>
              <w:top w:val="single" w:sz="4" w:space="0" w:color="auto"/>
              <w:bottom w:val="single" w:sz="4" w:space="0" w:color="auto"/>
            </w:tcBorders>
            <w:shd w:val="clear" w:color="auto" w:fill="auto"/>
            <w:vAlign w:val="bottom"/>
          </w:tcPr>
          <w:p w:rsidR="00A168FC" w:rsidRPr="003A18C1" w:rsidRDefault="00A168FC" w:rsidP="0074782E">
            <w:pPr>
              <w:ind w:firstLine="0"/>
              <w:jc w:val="left"/>
              <w:rPr>
                <w:szCs w:val="20"/>
              </w:rPr>
            </w:pPr>
            <w:r w:rsidRPr="003A18C1">
              <w:rPr>
                <w:szCs w:val="20"/>
              </w:rPr>
              <w:t>Energetski i komunikacijski sustavi</w:t>
            </w:r>
          </w:p>
        </w:tc>
        <w:tc>
          <w:tcPr>
            <w:tcW w:w="1559" w:type="dxa"/>
            <w:tcBorders>
              <w:top w:val="single" w:sz="4" w:space="0" w:color="auto"/>
              <w:bottom w:val="single" w:sz="4" w:space="0" w:color="auto"/>
            </w:tcBorders>
            <w:shd w:val="clear" w:color="auto" w:fill="auto"/>
          </w:tcPr>
          <w:p w:rsidR="00A168FC" w:rsidRPr="003A18C1" w:rsidRDefault="00A168FC" w:rsidP="0074782E">
            <w:pPr>
              <w:ind w:firstLine="0"/>
              <w:rPr>
                <w:szCs w:val="20"/>
              </w:rPr>
            </w:pPr>
          </w:p>
        </w:tc>
      </w:tr>
      <w:tr w:rsidR="00A168FC" w:rsidRPr="003A18C1" w:rsidTr="0074782E">
        <w:tc>
          <w:tcPr>
            <w:tcW w:w="729" w:type="dxa"/>
            <w:tcBorders>
              <w:top w:val="single" w:sz="4" w:space="0" w:color="auto"/>
              <w:bottom w:val="single" w:sz="4" w:space="0" w:color="auto"/>
            </w:tcBorders>
            <w:shd w:val="clear" w:color="auto" w:fill="auto"/>
            <w:vAlign w:val="center"/>
          </w:tcPr>
          <w:p w:rsidR="00A168FC" w:rsidRPr="003A18C1" w:rsidRDefault="00A168FC" w:rsidP="0074782E">
            <w:pPr>
              <w:ind w:firstLine="0"/>
              <w:rPr>
                <w:szCs w:val="20"/>
              </w:rPr>
            </w:pPr>
            <w:r w:rsidRPr="003A18C1">
              <w:rPr>
                <w:szCs w:val="20"/>
              </w:rPr>
              <w:t>2.2.</w:t>
            </w:r>
          </w:p>
        </w:tc>
        <w:tc>
          <w:tcPr>
            <w:tcW w:w="5934" w:type="dxa"/>
            <w:tcBorders>
              <w:top w:val="single" w:sz="4" w:space="0" w:color="auto"/>
              <w:bottom w:val="single" w:sz="4" w:space="0" w:color="auto"/>
            </w:tcBorders>
            <w:shd w:val="clear" w:color="auto" w:fill="auto"/>
            <w:vAlign w:val="bottom"/>
          </w:tcPr>
          <w:p w:rsidR="00A168FC" w:rsidRPr="003A18C1" w:rsidRDefault="00A168FC" w:rsidP="0074782E">
            <w:pPr>
              <w:ind w:firstLine="0"/>
              <w:jc w:val="left"/>
              <w:rPr>
                <w:szCs w:val="20"/>
              </w:rPr>
            </w:pPr>
            <w:proofErr w:type="spellStart"/>
            <w:r w:rsidRPr="003A18C1">
              <w:rPr>
                <w:szCs w:val="20"/>
              </w:rPr>
              <w:t>Vodnogospodarski</w:t>
            </w:r>
            <w:proofErr w:type="spellEnd"/>
            <w:r w:rsidRPr="003A18C1">
              <w:rPr>
                <w:szCs w:val="20"/>
              </w:rPr>
              <w:t xml:space="preserve"> sustavi i gospodarenje otpadom</w:t>
            </w:r>
          </w:p>
        </w:tc>
        <w:tc>
          <w:tcPr>
            <w:tcW w:w="1559" w:type="dxa"/>
            <w:tcBorders>
              <w:top w:val="single" w:sz="4" w:space="0" w:color="auto"/>
              <w:bottom w:val="single" w:sz="4" w:space="0" w:color="auto"/>
            </w:tcBorders>
            <w:shd w:val="clear" w:color="auto" w:fill="auto"/>
          </w:tcPr>
          <w:p w:rsidR="00A168FC" w:rsidRPr="003A18C1" w:rsidRDefault="00A168FC" w:rsidP="0074782E">
            <w:pPr>
              <w:ind w:firstLine="0"/>
              <w:rPr>
                <w:szCs w:val="20"/>
              </w:rPr>
            </w:pPr>
          </w:p>
        </w:tc>
      </w:tr>
      <w:tr w:rsidR="00A168FC" w:rsidRPr="003A18C1" w:rsidTr="0074782E">
        <w:tc>
          <w:tcPr>
            <w:tcW w:w="729" w:type="dxa"/>
            <w:tcBorders>
              <w:top w:val="single" w:sz="4" w:space="0" w:color="auto"/>
              <w:bottom w:val="single" w:sz="4" w:space="0" w:color="auto"/>
            </w:tcBorders>
            <w:shd w:val="clear" w:color="auto" w:fill="auto"/>
            <w:vAlign w:val="center"/>
          </w:tcPr>
          <w:p w:rsidR="00A168FC" w:rsidRPr="003A18C1" w:rsidRDefault="00A168FC" w:rsidP="0074782E">
            <w:pPr>
              <w:ind w:firstLine="0"/>
              <w:rPr>
                <w:szCs w:val="20"/>
              </w:rPr>
            </w:pPr>
            <w:r>
              <w:rPr>
                <w:szCs w:val="20"/>
              </w:rPr>
              <w:t>3.</w:t>
            </w:r>
          </w:p>
        </w:tc>
        <w:tc>
          <w:tcPr>
            <w:tcW w:w="5934" w:type="dxa"/>
            <w:tcBorders>
              <w:top w:val="single" w:sz="4" w:space="0" w:color="auto"/>
              <w:bottom w:val="single" w:sz="4" w:space="0" w:color="auto"/>
            </w:tcBorders>
            <w:shd w:val="clear" w:color="auto" w:fill="auto"/>
            <w:vAlign w:val="bottom"/>
          </w:tcPr>
          <w:p w:rsidR="00A168FC" w:rsidRPr="003A18C1" w:rsidRDefault="00A168FC" w:rsidP="0074782E">
            <w:pPr>
              <w:ind w:firstLine="0"/>
              <w:jc w:val="left"/>
              <w:rPr>
                <w:szCs w:val="20"/>
              </w:rPr>
            </w:pPr>
            <w:r w:rsidRPr="003A18C1">
              <w:rPr>
                <w:szCs w:val="20"/>
              </w:rPr>
              <w:t>UVJETI KORIŠTENJA, UREĐENJA I ZAŠTITE PROSTORA</w:t>
            </w:r>
          </w:p>
        </w:tc>
        <w:tc>
          <w:tcPr>
            <w:tcW w:w="1559" w:type="dxa"/>
            <w:tcBorders>
              <w:top w:val="single" w:sz="4" w:space="0" w:color="auto"/>
              <w:bottom w:val="single" w:sz="4" w:space="0" w:color="auto"/>
            </w:tcBorders>
            <w:shd w:val="clear" w:color="auto" w:fill="auto"/>
            <w:vAlign w:val="center"/>
          </w:tcPr>
          <w:p w:rsidR="00A168FC" w:rsidRPr="003A18C1" w:rsidRDefault="00A168FC" w:rsidP="0074782E">
            <w:pPr>
              <w:ind w:firstLine="0"/>
              <w:rPr>
                <w:szCs w:val="20"/>
              </w:rPr>
            </w:pPr>
            <w:r w:rsidRPr="003A18C1">
              <w:rPr>
                <w:szCs w:val="20"/>
              </w:rPr>
              <w:t>MJ=1:25.000</w:t>
            </w:r>
          </w:p>
        </w:tc>
      </w:tr>
      <w:tr w:rsidR="00A168FC" w:rsidRPr="003A18C1" w:rsidTr="0074782E">
        <w:tc>
          <w:tcPr>
            <w:tcW w:w="729" w:type="dxa"/>
            <w:tcBorders>
              <w:top w:val="single" w:sz="4" w:space="0" w:color="auto"/>
              <w:bottom w:val="single" w:sz="4" w:space="0" w:color="auto"/>
            </w:tcBorders>
            <w:shd w:val="clear" w:color="auto" w:fill="auto"/>
            <w:vAlign w:val="center"/>
          </w:tcPr>
          <w:p w:rsidR="00A168FC" w:rsidRPr="003A18C1" w:rsidRDefault="00A168FC" w:rsidP="0074782E">
            <w:pPr>
              <w:ind w:firstLine="0"/>
              <w:rPr>
                <w:szCs w:val="20"/>
              </w:rPr>
            </w:pPr>
            <w:r w:rsidRPr="003A18C1">
              <w:rPr>
                <w:szCs w:val="20"/>
              </w:rPr>
              <w:t>4.</w:t>
            </w:r>
          </w:p>
        </w:tc>
        <w:tc>
          <w:tcPr>
            <w:tcW w:w="5934" w:type="dxa"/>
            <w:tcBorders>
              <w:top w:val="single" w:sz="4" w:space="0" w:color="auto"/>
              <w:bottom w:val="single" w:sz="4" w:space="0" w:color="auto"/>
            </w:tcBorders>
            <w:shd w:val="clear" w:color="auto" w:fill="auto"/>
            <w:vAlign w:val="bottom"/>
          </w:tcPr>
          <w:p w:rsidR="00A168FC" w:rsidRPr="003A18C1" w:rsidRDefault="00A168FC" w:rsidP="0074782E">
            <w:pPr>
              <w:ind w:firstLine="0"/>
              <w:jc w:val="left"/>
              <w:rPr>
                <w:szCs w:val="20"/>
              </w:rPr>
            </w:pPr>
            <w:r w:rsidRPr="003A18C1">
              <w:rPr>
                <w:szCs w:val="20"/>
              </w:rPr>
              <w:t>GRAĐEVINSKA PODRUČJA NASELJA</w:t>
            </w:r>
          </w:p>
        </w:tc>
        <w:tc>
          <w:tcPr>
            <w:tcW w:w="1559" w:type="dxa"/>
            <w:tcBorders>
              <w:top w:val="single" w:sz="4" w:space="0" w:color="auto"/>
              <w:bottom w:val="single" w:sz="4" w:space="0" w:color="auto"/>
            </w:tcBorders>
            <w:shd w:val="clear" w:color="auto" w:fill="auto"/>
            <w:vAlign w:val="center"/>
          </w:tcPr>
          <w:p w:rsidR="00A168FC" w:rsidRPr="003A18C1" w:rsidRDefault="00A168FC" w:rsidP="0074782E">
            <w:pPr>
              <w:ind w:firstLine="0"/>
              <w:rPr>
                <w:szCs w:val="20"/>
              </w:rPr>
            </w:pPr>
            <w:r w:rsidRPr="003A18C1">
              <w:rPr>
                <w:szCs w:val="20"/>
              </w:rPr>
              <w:t>MJ=1:5.000</w:t>
            </w:r>
          </w:p>
        </w:tc>
      </w:tr>
      <w:tr w:rsidR="00A168FC" w:rsidRPr="003A18C1" w:rsidTr="0074782E">
        <w:tc>
          <w:tcPr>
            <w:tcW w:w="729" w:type="dxa"/>
            <w:tcBorders>
              <w:top w:val="single" w:sz="4" w:space="0" w:color="auto"/>
              <w:bottom w:val="single" w:sz="4" w:space="0" w:color="auto"/>
            </w:tcBorders>
            <w:shd w:val="clear" w:color="auto" w:fill="auto"/>
            <w:vAlign w:val="center"/>
          </w:tcPr>
          <w:p w:rsidR="00A168FC" w:rsidRPr="003A18C1" w:rsidRDefault="00A168FC" w:rsidP="0074782E">
            <w:pPr>
              <w:ind w:firstLine="0"/>
              <w:jc w:val="left"/>
              <w:rPr>
                <w:szCs w:val="20"/>
              </w:rPr>
            </w:pPr>
            <w:r w:rsidRPr="003A18C1">
              <w:rPr>
                <w:szCs w:val="20"/>
              </w:rPr>
              <w:t>4.1.</w:t>
            </w:r>
          </w:p>
        </w:tc>
        <w:tc>
          <w:tcPr>
            <w:tcW w:w="5934" w:type="dxa"/>
            <w:tcBorders>
              <w:top w:val="single" w:sz="4" w:space="0" w:color="auto"/>
              <w:bottom w:val="single" w:sz="4" w:space="0" w:color="auto"/>
            </w:tcBorders>
            <w:shd w:val="clear" w:color="auto" w:fill="auto"/>
            <w:vAlign w:val="bottom"/>
          </w:tcPr>
          <w:p w:rsidR="00A168FC" w:rsidRPr="003A18C1" w:rsidRDefault="00A168FC" w:rsidP="0074782E">
            <w:pPr>
              <w:ind w:firstLine="0"/>
              <w:jc w:val="left"/>
              <w:rPr>
                <w:szCs w:val="20"/>
              </w:rPr>
            </w:pPr>
            <w:r w:rsidRPr="003A18C1">
              <w:rPr>
                <w:szCs w:val="20"/>
              </w:rPr>
              <w:t>Brezje</w:t>
            </w:r>
          </w:p>
        </w:tc>
        <w:tc>
          <w:tcPr>
            <w:tcW w:w="1559" w:type="dxa"/>
            <w:tcBorders>
              <w:top w:val="single" w:sz="4" w:space="0" w:color="auto"/>
              <w:bottom w:val="single" w:sz="4" w:space="0" w:color="auto"/>
            </w:tcBorders>
            <w:shd w:val="clear" w:color="auto" w:fill="auto"/>
            <w:vAlign w:val="center"/>
          </w:tcPr>
          <w:p w:rsidR="00A168FC" w:rsidRPr="003A18C1" w:rsidRDefault="00A168FC" w:rsidP="0074782E">
            <w:pPr>
              <w:ind w:firstLine="0"/>
              <w:rPr>
                <w:szCs w:val="20"/>
              </w:rPr>
            </w:pPr>
          </w:p>
        </w:tc>
      </w:tr>
      <w:tr w:rsidR="00A168FC" w:rsidRPr="003A18C1" w:rsidTr="0074782E">
        <w:tc>
          <w:tcPr>
            <w:tcW w:w="729" w:type="dxa"/>
            <w:tcBorders>
              <w:top w:val="single" w:sz="4" w:space="0" w:color="auto"/>
              <w:bottom w:val="single" w:sz="4" w:space="0" w:color="auto"/>
            </w:tcBorders>
            <w:shd w:val="clear" w:color="auto" w:fill="auto"/>
            <w:vAlign w:val="center"/>
          </w:tcPr>
          <w:p w:rsidR="00A168FC" w:rsidRPr="003A18C1" w:rsidRDefault="00A168FC" w:rsidP="0074782E">
            <w:pPr>
              <w:ind w:firstLine="0"/>
              <w:jc w:val="left"/>
              <w:rPr>
                <w:szCs w:val="20"/>
              </w:rPr>
            </w:pPr>
            <w:r w:rsidRPr="003A18C1">
              <w:rPr>
                <w:szCs w:val="20"/>
              </w:rPr>
              <w:t>4.2.</w:t>
            </w:r>
          </w:p>
        </w:tc>
        <w:tc>
          <w:tcPr>
            <w:tcW w:w="5934" w:type="dxa"/>
            <w:tcBorders>
              <w:top w:val="single" w:sz="4" w:space="0" w:color="auto"/>
              <w:bottom w:val="single" w:sz="4" w:space="0" w:color="auto"/>
            </w:tcBorders>
            <w:shd w:val="clear" w:color="auto" w:fill="auto"/>
            <w:vAlign w:val="bottom"/>
          </w:tcPr>
          <w:p w:rsidR="00A168FC" w:rsidRPr="003A18C1" w:rsidRDefault="00A168FC" w:rsidP="0074782E">
            <w:pPr>
              <w:ind w:firstLine="0"/>
              <w:jc w:val="left"/>
              <w:rPr>
                <w:szCs w:val="20"/>
              </w:rPr>
            </w:pPr>
            <w:r w:rsidRPr="003A18C1">
              <w:rPr>
                <w:szCs w:val="20"/>
              </w:rPr>
              <w:t>Dragoslavec</w:t>
            </w:r>
          </w:p>
        </w:tc>
        <w:tc>
          <w:tcPr>
            <w:tcW w:w="1559" w:type="dxa"/>
            <w:tcBorders>
              <w:top w:val="single" w:sz="4" w:space="0" w:color="auto"/>
              <w:bottom w:val="single" w:sz="4" w:space="0" w:color="auto"/>
            </w:tcBorders>
            <w:shd w:val="clear" w:color="auto" w:fill="auto"/>
            <w:vAlign w:val="center"/>
          </w:tcPr>
          <w:p w:rsidR="00A168FC" w:rsidRPr="003A18C1" w:rsidRDefault="00A168FC" w:rsidP="0074782E">
            <w:pPr>
              <w:ind w:firstLine="0"/>
              <w:rPr>
                <w:szCs w:val="20"/>
              </w:rPr>
            </w:pPr>
          </w:p>
        </w:tc>
      </w:tr>
      <w:tr w:rsidR="00A168FC" w:rsidRPr="003A18C1" w:rsidTr="0074782E">
        <w:tc>
          <w:tcPr>
            <w:tcW w:w="729" w:type="dxa"/>
            <w:tcBorders>
              <w:top w:val="single" w:sz="4" w:space="0" w:color="auto"/>
              <w:bottom w:val="single" w:sz="4" w:space="0" w:color="auto"/>
            </w:tcBorders>
            <w:shd w:val="clear" w:color="auto" w:fill="auto"/>
            <w:vAlign w:val="center"/>
          </w:tcPr>
          <w:p w:rsidR="00A168FC" w:rsidRPr="003A18C1" w:rsidRDefault="00A168FC" w:rsidP="0074782E">
            <w:pPr>
              <w:ind w:firstLine="0"/>
              <w:jc w:val="left"/>
              <w:rPr>
                <w:szCs w:val="20"/>
              </w:rPr>
            </w:pPr>
            <w:r w:rsidRPr="003A18C1">
              <w:rPr>
                <w:szCs w:val="20"/>
              </w:rPr>
              <w:t>4.4.</w:t>
            </w:r>
          </w:p>
        </w:tc>
        <w:tc>
          <w:tcPr>
            <w:tcW w:w="5934" w:type="dxa"/>
            <w:tcBorders>
              <w:top w:val="single" w:sz="4" w:space="0" w:color="auto"/>
              <w:bottom w:val="single" w:sz="4" w:space="0" w:color="auto"/>
            </w:tcBorders>
            <w:shd w:val="clear" w:color="auto" w:fill="auto"/>
            <w:vAlign w:val="bottom"/>
          </w:tcPr>
          <w:p w:rsidR="00A168FC" w:rsidRPr="003A18C1" w:rsidRDefault="00A168FC" w:rsidP="0074782E">
            <w:pPr>
              <w:ind w:firstLine="0"/>
              <w:jc w:val="left"/>
              <w:rPr>
                <w:szCs w:val="20"/>
              </w:rPr>
            </w:pPr>
            <w:r w:rsidRPr="003A18C1">
              <w:rPr>
                <w:szCs w:val="20"/>
              </w:rPr>
              <w:t>Lopatinec</w:t>
            </w:r>
          </w:p>
        </w:tc>
        <w:tc>
          <w:tcPr>
            <w:tcW w:w="1559" w:type="dxa"/>
            <w:tcBorders>
              <w:top w:val="single" w:sz="4" w:space="0" w:color="auto"/>
              <w:bottom w:val="single" w:sz="4" w:space="0" w:color="auto"/>
            </w:tcBorders>
            <w:shd w:val="clear" w:color="auto" w:fill="auto"/>
            <w:vAlign w:val="center"/>
          </w:tcPr>
          <w:p w:rsidR="00A168FC" w:rsidRPr="003A18C1" w:rsidRDefault="00A168FC" w:rsidP="0074782E">
            <w:pPr>
              <w:ind w:firstLine="0"/>
              <w:rPr>
                <w:szCs w:val="20"/>
              </w:rPr>
            </w:pPr>
          </w:p>
        </w:tc>
      </w:tr>
      <w:tr w:rsidR="00A168FC" w:rsidRPr="003A18C1" w:rsidTr="0074782E">
        <w:tc>
          <w:tcPr>
            <w:tcW w:w="729" w:type="dxa"/>
            <w:tcBorders>
              <w:top w:val="single" w:sz="4" w:space="0" w:color="auto"/>
              <w:bottom w:val="single" w:sz="4" w:space="0" w:color="auto"/>
            </w:tcBorders>
            <w:shd w:val="clear" w:color="auto" w:fill="auto"/>
            <w:vAlign w:val="center"/>
          </w:tcPr>
          <w:p w:rsidR="00A168FC" w:rsidRPr="003A18C1" w:rsidRDefault="00A168FC" w:rsidP="0074782E">
            <w:pPr>
              <w:ind w:firstLine="0"/>
              <w:jc w:val="left"/>
              <w:rPr>
                <w:szCs w:val="20"/>
              </w:rPr>
            </w:pPr>
            <w:r w:rsidRPr="003A18C1">
              <w:rPr>
                <w:szCs w:val="20"/>
              </w:rPr>
              <w:t>4.6.</w:t>
            </w:r>
          </w:p>
        </w:tc>
        <w:tc>
          <w:tcPr>
            <w:tcW w:w="5934" w:type="dxa"/>
            <w:tcBorders>
              <w:top w:val="single" w:sz="4" w:space="0" w:color="auto"/>
              <w:bottom w:val="single" w:sz="4" w:space="0" w:color="auto"/>
            </w:tcBorders>
            <w:shd w:val="clear" w:color="auto" w:fill="auto"/>
            <w:vAlign w:val="bottom"/>
          </w:tcPr>
          <w:p w:rsidR="00A168FC" w:rsidRPr="003A18C1" w:rsidRDefault="00A168FC" w:rsidP="0074782E">
            <w:pPr>
              <w:ind w:firstLine="0"/>
              <w:jc w:val="left"/>
              <w:rPr>
                <w:szCs w:val="20"/>
              </w:rPr>
            </w:pPr>
            <w:r w:rsidRPr="003A18C1">
              <w:rPr>
                <w:szCs w:val="20"/>
              </w:rPr>
              <w:t>Okrugli Vrh</w:t>
            </w:r>
          </w:p>
        </w:tc>
        <w:tc>
          <w:tcPr>
            <w:tcW w:w="1559" w:type="dxa"/>
            <w:tcBorders>
              <w:top w:val="single" w:sz="4" w:space="0" w:color="auto"/>
              <w:bottom w:val="single" w:sz="4" w:space="0" w:color="auto"/>
            </w:tcBorders>
            <w:shd w:val="clear" w:color="auto" w:fill="auto"/>
            <w:vAlign w:val="center"/>
          </w:tcPr>
          <w:p w:rsidR="00A168FC" w:rsidRPr="003A18C1" w:rsidRDefault="00A168FC" w:rsidP="0074782E">
            <w:pPr>
              <w:ind w:firstLine="0"/>
              <w:rPr>
                <w:szCs w:val="20"/>
              </w:rPr>
            </w:pPr>
          </w:p>
        </w:tc>
      </w:tr>
      <w:tr w:rsidR="00A168FC" w:rsidRPr="003A18C1" w:rsidTr="0074782E">
        <w:tc>
          <w:tcPr>
            <w:tcW w:w="729" w:type="dxa"/>
            <w:tcBorders>
              <w:top w:val="single" w:sz="4" w:space="0" w:color="auto"/>
              <w:bottom w:val="single" w:sz="4" w:space="0" w:color="auto"/>
            </w:tcBorders>
            <w:shd w:val="clear" w:color="auto" w:fill="auto"/>
            <w:vAlign w:val="center"/>
          </w:tcPr>
          <w:p w:rsidR="00A168FC" w:rsidRPr="003A18C1" w:rsidRDefault="00A168FC" w:rsidP="0074782E">
            <w:pPr>
              <w:ind w:firstLine="0"/>
              <w:jc w:val="left"/>
              <w:rPr>
                <w:szCs w:val="20"/>
              </w:rPr>
            </w:pPr>
            <w:r w:rsidRPr="003A18C1">
              <w:rPr>
                <w:szCs w:val="20"/>
              </w:rPr>
              <w:t>4.7.</w:t>
            </w:r>
          </w:p>
        </w:tc>
        <w:tc>
          <w:tcPr>
            <w:tcW w:w="5934" w:type="dxa"/>
            <w:tcBorders>
              <w:top w:val="single" w:sz="4" w:space="0" w:color="auto"/>
              <w:bottom w:val="single" w:sz="4" w:space="0" w:color="auto"/>
            </w:tcBorders>
            <w:shd w:val="clear" w:color="auto" w:fill="auto"/>
            <w:vAlign w:val="bottom"/>
          </w:tcPr>
          <w:p w:rsidR="00A168FC" w:rsidRPr="003A18C1" w:rsidRDefault="00A168FC" w:rsidP="0074782E">
            <w:pPr>
              <w:ind w:firstLine="0"/>
              <w:jc w:val="left"/>
              <w:rPr>
                <w:szCs w:val="20"/>
              </w:rPr>
            </w:pPr>
            <w:r w:rsidRPr="003A18C1">
              <w:rPr>
                <w:szCs w:val="20"/>
              </w:rPr>
              <w:t>Pleškovec</w:t>
            </w:r>
          </w:p>
        </w:tc>
        <w:tc>
          <w:tcPr>
            <w:tcW w:w="1559" w:type="dxa"/>
            <w:tcBorders>
              <w:top w:val="single" w:sz="4" w:space="0" w:color="auto"/>
              <w:bottom w:val="single" w:sz="4" w:space="0" w:color="auto"/>
            </w:tcBorders>
            <w:shd w:val="clear" w:color="auto" w:fill="auto"/>
            <w:vAlign w:val="center"/>
          </w:tcPr>
          <w:p w:rsidR="00A168FC" w:rsidRPr="003A18C1" w:rsidRDefault="00A168FC" w:rsidP="0074782E">
            <w:pPr>
              <w:ind w:firstLine="0"/>
              <w:rPr>
                <w:szCs w:val="20"/>
              </w:rPr>
            </w:pPr>
          </w:p>
        </w:tc>
      </w:tr>
    </w:tbl>
    <w:p w:rsidR="00A168FC" w:rsidRDefault="00A168FC" w:rsidP="00A168FC">
      <w:pPr>
        <w:rPr>
          <w:szCs w:val="20"/>
        </w:rPr>
      </w:pPr>
    </w:p>
    <w:p w:rsidR="00A168FC" w:rsidRDefault="00A168FC" w:rsidP="00A168FC">
      <w:pPr>
        <w:pStyle w:val="Normalstavci"/>
        <w:numPr>
          <w:ilvl w:val="0"/>
          <w:numId w:val="38"/>
        </w:numPr>
      </w:pPr>
      <w:r w:rsidRPr="00DF4987">
        <w:t xml:space="preserve">Obrazloženjem se daje analiza, ciljevi prostornog uređenja i plansko obrazloženje rješenja, te evidencija postupka izrade </w:t>
      </w:r>
      <w:r>
        <w:t>III</w:t>
      </w:r>
      <w:r w:rsidRPr="00DF4987">
        <w:t xml:space="preserve">. izmjena i dopuna Prostornog plana uređenja </w:t>
      </w:r>
      <w:r>
        <w:t>Općine Sveti Juraj na Bregu</w:t>
      </w:r>
      <w:r w:rsidRPr="00DF4987">
        <w:t>.</w:t>
      </w:r>
    </w:p>
    <w:p w:rsidR="00A168FC" w:rsidRDefault="00A168FC" w:rsidP="00A168FC">
      <w:pPr>
        <w:overflowPunct/>
        <w:autoSpaceDE/>
        <w:autoSpaceDN/>
        <w:adjustRightInd/>
        <w:ind w:firstLine="0"/>
        <w:jc w:val="left"/>
        <w:textAlignment w:val="auto"/>
        <w:rPr>
          <w:szCs w:val="20"/>
        </w:rPr>
      </w:pPr>
      <w:r>
        <w:br w:type="page"/>
      </w:r>
    </w:p>
    <w:p w:rsidR="00A168FC" w:rsidRDefault="00A168FC" w:rsidP="00A168FC">
      <w:pPr>
        <w:pStyle w:val="Normalstavci"/>
        <w:numPr>
          <w:ilvl w:val="0"/>
          <w:numId w:val="0"/>
        </w:numPr>
        <w:ind w:left="360" w:hanging="360"/>
      </w:pPr>
    </w:p>
    <w:p w:rsidR="00A168FC" w:rsidRPr="00D37A36" w:rsidRDefault="00A168FC" w:rsidP="00A168FC">
      <w:pPr>
        <w:pStyle w:val="Odlomakpopisa"/>
        <w:numPr>
          <w:ilvl w:val="0"/>
          <w:numId w:val="4"/>
        </w:numPr>
        <w:overflowPunct/>
        <w:autoSpaceDE/>
        <w:autoSpaceDN/>
        <w:adjustRightInd/>
        <w:spacing w:before="360" w:after="480"/>
        <w:jc w:val="left"/>
        <w:textAlignment w:val="auto"/>
        <w:rPr>
          <w:b/>
          <w:sz w:val="24"/>
        </w:rPr>
      </w:pPr>
      <w:r w:rsidRPr="00D37A36">
        <w:rPr>
          <w:b/>
          <w:sz w:val="24"/>
        </w:rPr>
        <w:t>ODREDBE ZA PROVEDBU</w:t>
      </w:r>
    </w:p>
    <w:p w:rsidR="00A168FC" w:rsidRPr="00760905" w:rsidRDefault="00A168FC" w:rsidP="00A168FC">
      <w:pPr>
        <w:pStyle w:val="lanak"/>
      </w:pPr>
      <w:r w:rsidRPr="00760905">
        <w:t xml:space="preserve">Članak </w:t>
      </w:r>
      <w:r w:rsidRPr="00760905">
        <w:fldChar w:fldCharType="begin"/>
      </w:r>
      <w:r w:rsidRPr="00760905">
        <w:instrText xml:space="preserve">AUTONUM </w:instrText>
      </w:r>
      <w:r w:rsidRPr="00760905">
        <w:fldChar w:fldCharType="separate"/>
      </w:r>
      <w:r w:rsidRPr="00760905">
        <w:t>1.</w:t>
      </w:r>
      <w:r w:rsidRPr="00760905">
        <w:fldChar w:fldCharType="end"/>
      </w:r>
    </w:p>
    <w:p w:rsidR="00A168FC" w:rsidRPr="00577074" w:rsidRDefault="00A168FC" w:rsidP="00A168FC">
      <w:pPr>
        <w:pStyle w:val="Normalstavci"/>
        <w:numPr>
          <w:ilvl w:val="0"/>
          <w:numId w:val="47"/>
        </w:numPr>
      </w:pPr>
      <w:r w:rsidRPr="00760905">
        <w:t xml:space="preserve">U Odluci o donošenju Prostornog plana uređenja Općine Sveti Juraj  na Bregu („Službeni glasnik Međimurske županije“ broj: 4/06, 10/15, 20/19, 2/20 - pročišćeni tekst) u članku 3. </w:t>
      </w:r>
      <w:r w:rsidRPr="00577074">
        <w:t>stavak 1. alineja 17. mijenja se i glasi:</w:t>
      </w:r>
    </w:p>
    <w:p w:rsidR="00A168FC" w:rsidRPr="00577074" w:rsidRDefault="00A168FC" w:rsidP="00A168FC">
      <w:pPr>
        <w:pStyle w:val="Normalstavci"/>
        <w:numPr>
          <w:ilvl w:val="0"/>
          <w:numId w:val="0"/>
        </w:numPr>
        <w:ind w:left="360" w:hanging="360"/>
      </w:pPr>
    </w:p>
    <w:p w:rsidR="00A168FC" w:rsidRPr="00577074" w:rsidRDefault="00A168FC" w:rsidP="00A168FC">
      <w:pPr>
        <w:pStyle w:val="Normalstavci"/>
        <w:numPr>
          <w:ilvl w:val="0"/>
          <w:numId w:val="0"/>
        </w:numPr>
        <w:ind w:left="360" w:hanging="360"/>
      </w:pPr>
      <w:r w:rsidRPr="00577074">
        <w:t xml:space="preserve">„ -  </w:t>
      </w:r>
      <w:r w:rsidRPr="00577074">
        <w:rPr>
          <w:b/>
        </w:rPr>
        <w:t>Nepotpuna etaža (NE)</w:t>
      </w:r>
      <w:r w:rsidRPr="00577074">
        <w:t xml:space="preserve"> je najviši kat oblikovan ravnim krovom čiji zatvoreni i natkriveni dio iznosi 75% površine dobivene vertikalnom projekcijom svih zatvorenih nadzemnih dijelova građevine, uvučena na pročelju uz građevinski pravac najmanje za svoju ukupnu visinu.“</w:t>
      </w:r>
    </w:p>
    <w:p w:rsidR="00A168FC" w:rsidRPr="00577074" w:rsidRDefault="00A168FC" w:rsidP="00A168FC">
      <w:pPr>
        <w:pStyle w:val="Normalstavci"/>
        <w:numPr>
          <w:ilvl w:val="0"/>
          <w:numId w:val="0"/>
        </w:numPr>
        <w:ind w:left="360" w:hanging="360"/>
      </w:pPr>
    </w:p>
    <w:p w:rsidR="00A168FC" w:rsidRPr="00577074" w:rsidRDefault="00A168FC" w:rsidP="00A168FC">
      <w:pPr>
        <w:pStyle w:val="Normalstavci"/>
        <w:numPr>
          <w:ilvl w:val="0"/>
          <w:numId w:val="38"/>
        </w:numPr>
      </w:pPr>
      <w:r w:rsidRPr="00577074">
        <w:t>U članku 3. stavak 1. alineja 19. mijenja se i glasi:</w:t>
      </w:r>
    </w:p>
    <w:p w:rsidR="00A168FC" w:rsidRPr="00577074" w:rsidRDefault="00A168FC" w:rsidP="00A168FC">
      <w:pPr>
        <w:pStyle w:val="Normalstavci"/>
        <w:numPr>
          <w:ilvl w:val="0"/>
          <w:numId w:val="0"/>
        </w:numPr>
        <w:ind w:left="360" w:hanging="360"/>
      </w:pPr>
    </w:p>
    <w:p w:rsidR="00A168FC" w:rsidRPr="00577074" w:rsidRDefault="00A168FC" w:rsidP="00A168FC">
      <w:pPr>
        <w:pStyle w:val="Normalstavci"/>
        <w:numPr>
          <w:ilvl w:val="0"/>
          <w:numId w:val="0"/>
        </w:numPr>
        <w:ind w:left="360" w:hanging="360"/>
      </w:pPr>
      <w:r w:rsidRPr="00577074">
        <w:t>„ -</w:t>
      </w:r>
      <w:r w:rsidRPr="00577074">
        <w:rPr>
          <w:b/>
        </w:rPr>
        <w:t xml:space="preserve"> Prostorni plan užega područja</w:t>
      </w:r>
      <w:r w:rsidRPr="00577074">
        <w:t xml:space="preserve"> je u smislu ove Odluke svaka vrsta prostornog plana niže razine i užeg obuhvata od Prostornog plana uređenja Općine Sveti Juraj na Bregu.“</w:t>
      </w:r>
    </w:p>
    <w:p w:rsidR="00A168FC" w:rsidRPr="00577074" w:rsidRDefault="00A168FC" w:rsidP="00A168FC">
      <w:pPr>
        <w:pStyle w:val="Normalstavci"/>
        <w:numPr>
          <w:ilvl w:val="0"/>
          <w:numId w:val="0"/>
        </w:numPr>
        <w:ind w:left="360" w:hanging="360"/>
      </w:pPr>
    </w:p>
    <w:p w:rsidR="00A168FC" w:rsidRPr="00577074" w:rsidRDefault="00A168FC" w:rsidP="00A168FC">
      <w:pPr>
        <w:pStyle w:val="Normalstavci"/>
        <w:numPr>
          <w:ilvl w:val="0"/>
          <w:numId w:val="38"/>
        </w:numPr>
      </w:pPr>
      <w:r w:rsidRPr="00577074">
        <w:t>U članku 3. stavak 1. alineja 20. mijenja se i glasi:</w:t>
      </w:r>
    </w:p>
    <w:p w:rsidR="00A168FC" w:rsidRPr="00577074" w:rsidRDefault="00A168FC" w:rsidP="00A168FC">
      <w:pPr>
        <w:pStyle w:val="Normalstavci"/>
        <w:numPr>
          <w:ilvl w:val="0"/>
          <w:numId w:val="0"/>
        </w:numPr>
        <w:ind w:left="360" w:hanging="360"/>
      </w:pPr>
    </w:p>
    <w:p w:rsidR="00A168FC" w:rsidRPr="00577074" w:rsidRDefault="00A168FC" w:rsidP="00A168FC">
      <w:pPr>
        <w:pStyle w:val="Normalstavci"/>
        <w:numPr>
          <w:ilvl w:val="0"/>
          <w:numId w:val="0"/>
        </w:numPr>
        <w:ind w:left="360" w:hanging="360"/>
      </w:pPr>
      <w:r w:rsidRPr="00577074">
        <w:t xml:space="preserve">„ -  </w:t>
      </w:r>
      <w:r w:rsidRPr="00577074">
        <w:rPr>
          <w:b/>
        </w:rPr>
        <w:t>Puna etaža (PE)</w:t>
      </w:r>
      <w:r w:rsidRPr="00577074">
        <w:t xml:space="preserve"> je svaka etaža ispod najviše etaže, svaka najviša etaža oblikovana kao potkrovlje i svaka najviša etaža oblikovana s ravnim krovom čija površina projekcije premašuje utvrđenu za nepotpunu etažu.“</w:t>
      </w:r>
    </w:p>
    <w:p w:rsidR="00A168FC" w:rsidRPr="00577074" w:rsidRDefault="00A168FC" w:rsidP="00A168FC">
      <w:pPr>
        <w:pStyle w:val="Normalstavci"/>
        <w:numPr>
          <w:ilvl w:val="0"/>
          <w:numId w:val="0"/>
        </w:numPr>
        <w:ind w:left="360" w:hanging="360"/>
      </w:pPr>
    </w:p>
    <w:p w:rsidR="00A168FC" w:rsidRPr="00577074" w:rsidRDefault="00A168FC" w:rsidP="00A168FC">
      <w:pPr>
        <w:pStyle w:val="Normalstavci"/>
        <w:numPr>
          <w:ilvl w:val="0"/>
          <w:numId w:val="38"/>
        </w:numPr>
      </w:pPr>
      <w:r w:rsidRPr="00577074">
        <w:t>U članku 3. stavak 1. alineja 21. postaje alineja 29., a dosadašnje alineje od 22. do 29. postaju alineje od 21. do 28.</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48"/>
        </w:numPr>
      </w:pPr>
      <w:r w:rsidRPr="00577074">
        <w:t>U članku 4. stavku 1. alineji 8. tekst: „mineralnih sirovina“ zamjenjuje se tekstom: „ugljikovodika i geotermalne vode za korištenje u energetske svrhe“.</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49"/>
        </w:numPr>
      </w:pPr>
      <w:r w:rsidRPr="00577074">
        <w:t>U članku 5. stavak 9. mijenja se i glasi:</w:t>
      </w:r>
    </w:p>
    <w:p w:rsidR="00A168FC" w:rsidRPr="00577074" w:rsidRDefault="00A168FC" w:rsidP="00A168FC">
      <w:pPr>
        <w:pStyle w:val="Normalstavci"/>
        <w:numPr>
          <w:ilvl w:val="0"/>
          <w:numId w:val="0"/>
        </w:numPr>
        <w:ind w:left="360" w:hanging="360"/>
      </w:pPr>
    </w:p>
    <w:p w:rsidR="00A168FC" w:rsidRPr="00577074" w:rsidRDefault="00A168FC" w:rsidP="00A168FC">
      <w:pPr>
        <w:widowControl w:val="0"/>
        <w:overflowPunct/>
        <w:autoSpaceDE/>
        <w:autoSpaceDN/>
        <w:adjustRightInd/>
        <w:spacing w:after="60"/>
        <w:ind w:firstLine="0"/>
        <w:textAlignment w:val="auto"/>
        <w:rPr>
          <w:szCs w:val="20"/>
        </w:rPr>
      </w:pPr>
      <w:r w:rsidRPr="00577074">
        <w:rPr>
          <w:szCs w:val="20"/>
        </w:rPr>
        <w:t xml:space="preserve">„(9) Površine za istraživanje i </w:t>
      </w:r>
      <w:r w:rsidRPr="00577074">
        <w:rPr>
          <w:snapToGrid w:val="0"/>
          <w:szCs w:val="20"/>
          <w:lang w:eastAsia="en-US"/>
        </w:rPr>
        <w:t xml:space="preserve">eksploataciju </w:t>
      </w:r>
      <w:r w:rsidRPr="00577074">
        <w:rPr>
          <w:szCs w:val="20"/>
        </w:rPr>
        <w:t>ugljikovodika i geotermalne vode za korištenje u energetske svrhe /linijska oznaka/:</w:t>
      </w:r>
    </w:p>
    <w:p w:rsidR="00A168FC" w:rsidRPr="00577074" w:rsidRDefault="00A168FC" w:rsidP="00A168FC">
      <w:pPr>
        <w:pStyle w:val="Normaluvueno"/>
        <w:tabs>
          <w:tab w:val="num" w:pos="360"/>
        </w:tabs>
      </w:pPr>
      <w:r w:rsidRPr="00577074">
        <w:t>ugljikovodici:</w:t>
      </w:r>
    </w:p>
    <w:p w:rsidR="00A168FC" w:rsidRPr="00577074" w:rsidRDefault="00A168FC" w:rsidP="00A168FC">
      <w:pPr>
        <w:pStyle w:val="Normaluvueno2"/>
        <w:tabs>
          <w:tab w:val="clear" w:pos="1418"/>
          <w:tab w:val="num" w:pos="1778"/>
        </w:tabs>
      </w:pPr>
      <w:r w:rsidRPr="00577074">
        <w:t>dio EPU „</w:t>
      </w:r>
      <w:proofErr w:type="spellStart"/>
      <w:r w:rsidRPr="00577074">
        <w:t>Vukanovec</w:t>
      </w:r>
      <w:proofErr w:type="spellEnd"/>
      <w:r w:rsidRPr="00577074">
        <w:t>“</w:t>
      </w:r>
      <w:r w:rsidRPr="00577074">
        <w:rPr>
          <w:snapToGrid w:val="0"/>
        </w:rPr>
        <w:t xml:space="preserve"> </w:t>
      </w:r>
    </w:p>
    <w:p w:rsidR="00A168FC" w:rsidRPr="00577074" w:rsidRDefault="00A168FC" w:rsidP="00A168FC">
      <w:pPr>
        <w:pStyle w:val="Normaluvueno2"/>
        <w:tabs>
          <w:tab w:val="clear" w:pos="1418"/>
          <w:tab w:val="num" w:pos="1778"/>
        </w:tabs>
      </w:pPr>
      <w:r w:rsidRPr="00577074">
        <w:t>dio IPU „SZH – 01“</w:t>
      </w:r>
    </w:p>
    <w:p w:rsidR="00A168FC" w:rsidRPr="00577074" w:rsidRDefault="00A168FC" w:rsidP="00A168FC">
      <w:pPr>
        <w:pStyle w:val="Normaluvueno"/>
        <w:tabs>
          <w:tab w:val="num" w:pos="360"/>
        </w:tabs>
      </w:pPr>
      <w:r w:rsidRPr="00577074">
        <w:t>geotermalne vode za korištenje u energetske svrhe:</w:t>
      </w:r>
    </w:p>
    <w:p w:rsidR="00A168FC" w:rsidRPr="00577074" w:rsidRDefault="00A168FC" w:rsidP="00A168FC">
      <w:pPr>
        <w:pStyle w:val="Normaluvueno2"/>
        <w:tabs>
          <w:tab w:val="clear" w:pos="1418"/>
          <w:tab w:val="num" w:pos="1778"/>
        </w:tabs>
      </w:pPr>
      <w:r w:rsidRPr="00577074">
        <w:t>dijelovi IPGV „Merhatovec“ i IPGV „Međimurje 5“</w:t>
      </w:r>
    </w:p>
    <w:p w:rsidR="00A168FC" w:rsidRPr="00577074" w:rsidRDefault="00A168FC" w:rsidP="00A168FC">
      <w:pPr>
        <w:pStyle w:val="Normaluvueno2"/>
        <w:tabs>
          <w:tab w:val="clear" w:pos="1418"/>
          <w:tab w:val="num" w:pos="1778"/>
        </w:tabs>
      </w:pPr>
      <w:r w:rsidRPr="00577074">
        <w:t>površina</w:t>
      </w:r>
      <w:r w:rsidRPr="00577074">
        <w:rPr>
          <w:snapToGrid w:val="0"/>
        </w:rPr>
        <w:t xml:space="preserve"> s istražnim potencijalom geotermalne vode „Međimurje 6“</w:t>
      </w:r>
    </w:p>
    <w:p w:rsidR="00A168FC" w:rsidRPr="00577074" w:rsidRDefault="00A168FC" w:rsidP="00A168FC">
      <w:pPr>
        <w:pStyle w:val="Normaluvueno2"/>
        <w:tabs>
          <w:tab w:val="clear" w:pos="1418"/>
          <w:tab w:val="num" w:pos="1778"/>
        </w:tabs>
      </w:pPr>
      <w:r w:rsidRPr="00577074">
        <w:t>područje s potencijalom za istraživanje i eksploataciju geotermalne vode</w:t>
      </w:r>
      <w:r w:rsidRPr="00577074">
        <w:rPr>
          <w:snapToGrid w:val="0"/>
        </w:rPr>
        <w:t xml:space="preserve"> </w:t>
      </w:r>
      <w:r w:rsidRPr="00577074">
        <w:t>za korištenje u energetske svrhe je cijelo općinsko područje.“</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11"/>
        </w:numPr>
      </w:pPr>
      <w:r w:rsidRPr="00577074">
        <w:t>U članku 8. stavku 1. alineji 2. iza teksta „90/18“ dodaje se tekst:  „32/20, 62/20, 117/21, 114/22“.</w:t>
      </w:r>
    </w:p>
    <w:p w:rsidR="00A168FC" w:rsidRPr="00577074" w:rsidRDefault="00A168FC" w:rsidP="00A168FC">
      <w:pPr>
        <w:pStyle w:val="Normalstavci"/>
        <w:numPr>
          <w:ilvl w:val="0"/>
          <w:numId w:val="11"/>
        </w:numPr>
      </w:pPr>
      <w:r w:rsidRPr="00577074">
        <w:t>U članku 8. stavku 1. alineji 3. iza teksta: „14/19“ dodaje se zarez i tekst: „127/19“.</w:t>
      </w:r>
    </w:p>
    <w:p w:rsidR="00A168FC" w:rsidRPr="00577074" w:rsidRDefault="00A168FC" w:rsidP="00A168FC">
      <w:pPr>
        <w:pStyle w:val="Normalstavci"/>
        <w:numPr>
          <w:ilvl w:val="0"/>
          <w:numId w:val="11"/>
        </w:numPr>
      </w:pPr>
      <w:r w:rsidRPr="00577074">
        <w:t>U članku 8. stavku 1. alineji 5. iza teksta: „98/19“ dodaje se zarez i tekst: „32/20, 145/20“.</w:t>
      </w:r>
    </w:p>
    <w:p w:rsidR="00A168FC" w:rsidRPr="00577074" w:rsidRDefault="00A168FC" w:rsidP="00A168FC">
      <w:pPr>
        <w:pStyle w:val="lanak"/>
      </w:pPr>
      <w:r w:rsidRPr="00577074">
        <w:lastRenderedPageBreak/>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15"/>
        </w:numPr>
      </w:pPr>
      <w:r w:rsidRPr="00577074">
        <w:t>U članku 9. stavku 1. iza teksta: „154/14“ dodaje se zarez i tekst: „30/21, 75/22“.</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14"/>
        </w:numPr>
      </w:pPr>
      <w:r w:rsidRPr="00577074">
        <w:t>Članak 10. mijenja se i glasi:</w:t>
      </w:r>
    </w:p>
    <w:p w:rsidR="00A168FC" w:rsidRPr="00577074" w:rsidRDefault="00A168FC" w:rsidP="00A168FC">
      <w:pPr>
        <w:pStyle w:val="Normalstavci"/>
        <w:numPr>
          <w:ilvl w:val="0"/>
          <w:numId w:val="0"/>
        </w:numPr>
        <w:ind w:left="360" w:hanging="360"/>
      </w:pPr>
    </w:p>
    <w:p w:rsidR="00A168FC" w:rsidRPr="00577074" w:rsidRDefault="00A168FC" w:rsidP="00A168FC">
      <w:pPr>
        <w:widowControl w:val="0"/>
        <w:overflowPunct/>
        <w:autoSpaceDE/>
        <w:autoSpaceDN/>
        <w:adjustRightInd/>
        <w:spacing w:after="60"/>
        <w:ind w:firstLine="0"/>
        <w:textAlignment w:val="auto"/>
        <w:rPr>
          <w:szCs w:val="20"/>
        </w:rPr>
      </w:pPr>
      <w:r w:rsidRPr="00577074">
        <w:rPr>
          <w:szCs w:val="20"/>
        </w:rPr>
        <w:t>„(1) Građevine, površine i zahvati u prostoru koji se ne smatraju građenjem, od državnog značaja, na području Općine:</w:t>
      </w:r>
    </w:p>
    <w:p w:rsidR="00A168FC" w:rsidRPr="00577074" w:rsidRDefault="00A168FC" w:rsidP="00A168FC">
      <w:pPr>
        <w:tabs>
          <w:tab w:val="left" w:pos="851"/>
        </w:tabs>
        <w:overflowPunct/>
        <w:autoSpaceDE/>
        <w:autoSpaceDN/>
        <w:adjustRightInd/>
        <w:ind w:left="284" w:hanging="284"/>
        <w:textAlignment w:val="auto"/>
        <w:outlineLvl w:val="0"/>
        <w:rPr>
          <w:szCs w:val="20"/>
        </w:rPr>
      </w:pPr>
    </w:p>
    <w:p w:rsidR="00A168FC" w:rsidRPr="00577074" w:rsidRDefault="00A168FC" w:rsidP="00A168FC">
      <w:pPr>
        <w:widowControl w:val="0"/>
        <w:numPr>
          <w:ilvl w:val="0"/>
          <w:numId w:val="50"/>
        </w:numPr>
        <w:overflowPunct/>
        <w:autoSpaceDE/>
        <w:autoSpaceDN/>
        <w:adjustRightInd/>
        <w:spacing w:after="60"/>
        <w:contextualSpacing/>
        <w:jc w:val="left"/>
        <w:textAlignment w:val="auto"/>
        <w:rPr>
          <w:szCs w:val="20"/>
        </w:rPr>
      </w:pPr>
      <w:r w:rsidRPr="00577074">
        <w:rPr>
          <w:szCs w:val="20"/>
        </w:rPr>
        <w:t>Građevine i površine prometne i elektroničke komunikacijske infrastrukture i povezane opreme:</w:t>
      </w:r>
    </w:p>
    <w:p w:rsidR="00A168FC" w:rsidRPr="00577074" w:rsidRDefault="00A168FC" w:rsidP="00A168FC">
      <w:pPr>
        <w:pStyle w:val="Normaluvueno"/>
        <w:tabs>
          <w:tab w:val="num" w:pos="360"/>
        </w:tabs>
      </w:pPr>
      <w:r w:rsidRPr="00577074">
        <w:t>cestovne građevine:</w:t>
      </w:r>
    </w:p>
    <w:p w:rsidR="00A168FC" w:rsidRPr="00577074" w:rsidRDefault="00A168FC" w:rsidP="00A168FC">
      <w:pPr>
        <w:pStyle w:val="Normaluvueno2"/>
        <w:tabs>
          <w:tab w:val="clear" w:pos="1418"/>
          <w:tab w:val="num" w:pos="1778"/>
        </w:tabs>
        <w:rPr>
          <w:rFonts w:ascii="Arial HR" w:hAnsi="Arial HR"/>
        </w:rPr>
      </w:pPr>
      <w:r w:rsidRPr="00577074">
        <w:rPr>
          <w:rStyle w:val="NormaluvuenoChar"/>
        </w:rPr>
        <w:t xml:space="preserve">postojeća državna cesta D 227 – </w:t>
      </w:r>
      <w:proofErr w:type="spellStart"/>
      <w:r w:rsidRPr="00577074">
        <w:rPr>
          <w:rStyle w:val="NormaluvuenoChar"/>
        </w:rPr>
        <w:t>Gr</w:t>
      </w:r>
      <w:proofErr w:type="spellEnd"/>
      <w:r w:rsidRPr="00577074">
        <w:rPr>
          <w:rStyle w:val="NormaluvuenoChar"/>
        </w:rPr>
        <w:t xml:space="preserve">. R. Slovenije – </w:t>
      </w:r>
      <w:proofErr w:type="spellStart"/>
      <w:r w:rsidRPr="00577074">
        <w:rPr>
          <w:rStyle w:val="NormaluvuenoChar"/>
        </w:rPr>
        <w:t>Banfi</w:t>
      </w:r>
      <w:proofErr w:type="spellEnd"/>
      <w:r w:rsidRPr="00577074">
        <w:rPr>
          <w:rStyle w:val="NormaluvuenoChar"/>
        </w:rPr>
        <w:t xml:space="preserve"> – Štrigova – Prekopa –</w:t>
      </w:r>
      <w:r w:rsidRPr="00577074">
        <w:rPr>
          <w:rFonts w:ascii="Arial HR" w:hAnsi="Arial HR"/>
        </w:rPr>
        <w:t xml:space="preserve"> Lopatinec – Šenkovec (D 209)</w:t>
      </w:r>
    </w:p>
    <w:p w:rsidR="00A168FC" w:rsidRPr="00577074" w:rsidRDefault="00A168FC" w:rsidP="00A168FC">
      <w:pPr>
        <w:pStyle w:val="Normaluvueno"/>
        <w:tabs>
          <w:tab w:val="num" w:pos="360"/>
        </w:tabs>
      </w:pPr>
      <w:r w:rsidRPr="00577074">
        <w:t>građevine i površine elektroničkih komunikacija:</w:t>
      </w:r>
    </w:p>
    <w:p w:rsidR="00A168FC" w:rsidRPr="00577074" w:rsidRDefault="00A168FC" w:rsidP="00A168FC">
      <w:pPr>
        <w:pStyle w:val="Normaluvueno2"/>
        <w:tabs>
          <w:tab w:val="clear" w:pos="1418"/>
          <w:tab w:val="num" w:pos="1778"/>
        </w:tabs>
      </w:pPr>
      <w:r w:rsidRPr="00577074">
        <w:t>magistralni komunikacijski vodovi - svjetlovodni sustav prijenosa</w:t>
      </w:r>
    </w:p>
    <w:p w:rsidR="00A168FC" w:rsidRPr="00577074" w:rsidRDefault="00A168FC" w:rsidP="00A168FC">
      <w:pPr>
        <w:widowControl w:val="0"/>
        <w:numPr>
          <w:ilvl w:val="0"/>
          <w:numId w:val="50"/>
        </w:numPr>
        <w:overflowPunct/>
        <w:autoSpaceDE/>
        <w:autoSpaceDN/>
        <w:adjustRightInd/>
        <w:spacing w:after="60"/>
        <w:contextualSpacing/>
        <w:jc w:val="left"/>
        <w:textAlignment w:val="auto"/>
        <w:rPr>
          <w:szCs w:val="20"/>
        </w:rPr>
      </w:pPr>
      <w:r w:rsidRPr="00577074">
        <w:rPr>
          <w:szCs w:val="20"/>
        </w:rPr>
        <w:t>Energetske građevine</w:t>
      </w:r>
    </w:p>
    <w:p w:rsidR="00A168FC" w:rsidRPr="00577074" w:rsidRDefault="00A168FC" w:rsidP="00A168FC">
      <w:pPr>
        <w:pStyle w:val="Normaluvueno"/>
        <w:tabs>
          <w:tab w:val="num" w:pos="360"/>
        </w:tabs>
      </w:pPr>
      <w:r w:rsidRPr="00577074">
        <w:t>međunarodni i magistralni cjevovodi koji služe za transport nafte, plina ili naftnih derivata, uključivo terminal, otpremnu i mjerno-regulacijsku (redukcijsku) stanicu tehnološki povezanu s tim cjevovodom:</w:t>
      </w:r>
    </w:p>
    <w:p w:rsidR="00A168FC" w:rsidRPr="00577074" w:rsidRDefault="00A168FC" w:rsidP="00A168FC">
      <w:pPr>
        <w:pStyle w:val="Normaluvueno2"/>
        <w:tabs>
          <w:tab w:val="clear" w:pos="1418"/>
          <w:tab w:val="num" w:pos="1778"/>
        </w:tabs>
        <w:rPr>
          <w:snapToGrid w:val="0"/>
        </w:rPr>
      </w:pPr>
      <w:r w:rsidRPr="00577074">
        <w:rPr>
          <w:snapToGrid w:val="0"/>
        </w:rPr>
        <w:t>magistralni plinovod DN 150/50, Mihovljan – Mursko Središće</w:t>
      </w:r>
    </w:p>
    <w:p w:rsidR="00A168FC" w:rsidRPr="00577074" w:rsidRDefault="00A168FC" w:rsidP="00A168FC">
      <w:pPr>
        <w:pStyle w:val="Normaluvueno2"/>
        <w:tabs>
          <w:tab w:val="clear" w:pos="1418"/>
          <w:tab w:val="num" w:pos="1778"/>
        </w:tabs>
        <w:rPr>
          <w:snapToGrid w:val="0"/>
        </w:rPr>
      </w:pPr>
      <w:r w:rsidRPr="00577074">
        <w:rPr>
          <w:snapToGrid w:val="0"/>
        </w:rPr>
        <w:t xml:space="preserve">proizvodno – otpremni sustav INA-e u funkciji proizvodnje plina, Čvor Međimurje – CPS Mihovljan – plinovodi, </w:t>
      </w:r>
      <w:proofErr w:type="spellStart"/>
      <w:r w:rsidRPr="00577074">
        <w:rPr>
          <w:snapToGrid w:val="0"/>
        </w:rPr>
        <w:t>kondenzatovod</w:t>
      </w:r>
      <w:proofErr w:type="spellEnd"/>
      <w:r w:rsidRPr="00577074">
        <w:rPr>
          <w:snapToGrid w:val="0"/>
        </w:rPr>
        <w:t>, elektrovod, signalni kabel i drugo</w:t>
      </w:r>
    </w:p>
    <w:p w:rsidR="00A168FC" w:rsidRPr="00577074" w:rsidRDefault="00A168FC" w:rsidP="00A168FC">
      <w:pPr>
        <w:widowControl w:val="0"/>
        <w:numPr>
          <w:ilvl w:val="0"/>
          <w:numId w:val="50"/>
        </w:numPr>
        <w:overflowPunct/>
        <w:autoSpaceDE/>
        <w:autoSpaceDN/>
        <w:adjustRightInd/>
        <w:spacing w:after="60"/>
        <w:contextualSpacing/>
        <w:jc w:val="left"/>
        <w:textAlignment w:val="auto"/>
        <w:rPr>
          <w:szCs w:val="20"/>
        </w:rPr>
      </w:pPr>
      <w:r w:rsidRPr="00577074">
        <w:rPr>
          <w:szCs w:val="20"/>
        </w:rPr>
        <w:t>Zahvati u prostoru, odnosno površine državnog značaja koji se prema posebnim propisima koji uređuju gradnju ne smatraju građenjem:</w:t>
      </w:r>
    </w:p>
    <w:p w:rsidR="00A168FC" w:rsidRPr="00577074" w:rsidRDefault="00A168FC" w:rsidP="00A168FC">
      <w:pPr>
        <w:pStyle w:val="Normaluvueno"/>
        <w:tabs>
          <w:tab w:val="num" w:pos="360"/>
        </w:tabs>
      </w:pPr>
      <w:r w:rsidRPr="00577074">
        <w:t>istraživanje i eksploatacija i građevine za eksploataciju na eksploatacijskom polju mineralnih sirovina, ugljikovodika, geotermalnih voda za energetske svrhe, podzemno skladištenje plina i trajno zbrinjavanje ugljikova dioksida:</w:t>
      </w:r>
    </w:p>
    <w:p w:rsidR="00A168FC" w:rsidRPr="00577074" w:rsidRDefault="00A168FC" w:rsidP="00A168FC">
      <w:pPr>
        <w:pStyle w:val="Normaluvueno2"/>
        <w:tabs>
          <w:tab w:val="clear" w:pos="1418"/>
          <w:tab w:val="num" w:pos="1778"/>
        </w:tabs>
        <w:rPr>
          <w:snapToGrid w:val="0"/>
        </w:rPr>
      </w:pPr>
      <w:r w:rsidRPr="00577074">
        <w:rPr>
          <w:snapToGrid w:val="0"/>
        </w:rPr>
        <w:t xml:space="preserve">ugljikovodici: </w:t>
      </w:r>
    </w:p>
    <w:p w:rsidR="00A168FC" w:rsidRPr="00577074" w:rsidRDefault="00A168FC" w:rsidP="00A168FC">
      <w:pPr>
        <w:pStyle w:val="Normaluvueno3"/>
      </w:pPr>
      <w:r w:rsidRPr="00577074">
        <w:t>dio EPU „</w:t>
      </w:r>
      <w:proofErr w:type="spellStart"/>
      <w:r w:rsidRPr="00577074">
        <w:t>Vukanovec</w:t>
      </w:r>
      <w:proofErr w:type="spellEnd"/>
      <w:r w:rsidRPr="00577074">
        <w:t>“</w:t>
      </w:r>
    </w:p>
    <w:p w:rsidR="00A168FC" w:rsidRPr="00577074" w:rsidRDefault="00A168FC" w:rsidP="00A168FC">
      <w:pPr>
        <w:pStyle w:val="Normaluvueno3"/>
      </w:pPr>
      <w:r w:rsidRPr="00577074">
        <w:t>dio IPU „Sjeverozapadna Hrvatska-01“ (SZH-01)</w:t>
      </w:r>
    </w:p>
    <w:p w:rsidR="00A168FC" w:rsidRPr="00577074" w:rsidRDefault="00A168FC" w:rsidP="00A168FC">
      <w:pPr>
        <w:pStyle w:val="Normaluvueno2"/>
        <w:tabs>
          <w:tab w:val="clear" w:pos="1418"/>
          <w:tab w:val="num" w:pos="1778"/>
        </w:tabs>
        <w:rPr>
          <w:snapToGrid w:val="0"/>
        </w:rPr>
      </w:pPr>
      <w:r w:rsidRPr="00577074">
        <w:rPr>
          <w:snapToGrid w:val="0"/>
        </w:rPr>
        <w:t>geotermalne vode za korištenje u energetske svrhe:</w:t>
      </w:r>
    </w:p>
    <w:p w:rsidR="00A168FC" w:rsidRPr="00577074" w:rsidRDefault="00A168FC" w:rsidP="00A168FC">
      <w:pPr>
        <w:pStyle w:val="Normaluvueno3"/>
      </w:pPr>
      <w:r w:rsidRPr="00577074">
        <w:t>dijelovi IPGV „Merhatovec“ i IPGV „Međimurje 5“</w:t>
      </w:r>
    </w:p>
    <w:p w:rsidR="00A168FC" w:rsidRPr="00577074" w:rsidRDefault="00A168FC" w:rsidP="00A168FC">
      <w:pPr>
        <w:pStyle w:val="Normaluvueno3"/>
      </w:pPr>
      <w:r w:rsidRPr="00577074">
        <w:t>površina s istražnim potencijalom geotermalne vode „Međimurje 6“</w:t>
      </w:r>
    </w:p>
    <w:p w:rsidR="00A168FC" w:rsidRPr="00577074" w:rsidRDefault="00A168FC" w:rsidP="00A168FC">
      <w:pPr>
        <w:pStyle w:val="Normaluvueno3"/>
      </w:pPr>
      <w:r w:rsidRPr="00577074">
        <w:t>cijelo općinsko područje ima potencijal za istraživanje i eksploataciju GV.“</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12"/>
        </w:numPr>
      </w:pPr>
      <w:r w:rsidRPr="00577074">
        <w:t>U članku 11. stavku 1. točki 1. alineji 2. briše se tekst: „i površine“.</w:t>
      </w:r>
    </w:p>
    <w:p w:rsidR="00A168FC" w:rsidRPr="00577074" w:rsidRDefault="00A168FC" w:rsidP="00A168FC">
      <w:pPr>
        <w:pStyle w:val="Normalstavci"/>
        <w:numPr>
          <w:ilvl w:val="0"/>
          <w:numId w:val="12"/>
        </w:numPr>
      </w:pPr>
      <w:r w:rsidRPr="00577074">
        <w:t>U članku 11. stavku 1. točki 2. alineja 1. mijenja se i glasi: „elektroenergetske - dalekovodi od 35 kV do 220 kV, s trafostanicom i rasklopnim postrojenjem na dalekovodu:“</w:t>
      </w:r>
    </w:p>
    <w:p w:rsidR="00A168FC" w:rsidRPr="00577074" w:rsidRDefault="00A168FC" w:rsidP="00A168FC">
      <w:pPr>
        <w:pStyle w:val="Normalstavci"/>
        <w:numPr>
          <w:ilvl w:val="0"/>
          <w:numId w:val="12"/>
        </w:numPr>
      </w:pPr>
      <w:r w:rsidRPr="00577074">
        <w:t xml:space="preserve">U članku 11. stavku 1. točki 2. alineji 1. </w:t>
      </w:r>
      <w:proofErr w:type="spellStart"/>
      <w:r w:rsidRPr="00577074">
        <w:t>podalineji</w:t>
      </w:r>
      <w:proofErr w:type="spellEnd"/>
      <w:r w:rsidRPr="00577074">
        <w:t xml:space="preserve"> 1. tekst: „zračni“ zamjenjuje se tekstom: „postojeći DV“.</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7"/>
        </w:numPr>
      </w:pPr>
      <w:r w:rsidRPr="00577074">
        <w:t>U članku 13. stavku 2. alineja 2. mijenja se i glasi:</w:t>
      </w:r>
    </w:p>
    <w:p w:rsidR="00A168FC" w:rsidRPr="00577074" w:rsidRDefault="00A168FC" w:rsidP="00A168FC">
      <w:pPr>
        <w:widowControl w:val="0"/>
        <w:overflowPunct/>
        <w:autoSpaceDE/>
        <w:autoSpaceDN/>
        <w:adjustRightInd/>
        <w:spacing w:after="60"/>
        <w:ind w:firstLine="0"/>
        <w:textAlignment w:val="auto"/>
        <w:rPr>
          <w:szCs w:val="20"/>
        </w:rPr>
      </w:pPr>
    </w:p>
    <w:p w:rsidR="00A168FC" w:rsidRPr="00577074" w:rsidRDefault="00A168FC" w:rsidP="00A168FC">
      <w:pPr>
        <w:widowControl w:val="0"/>
        <w:overflowPunct/>
        <w:autoSpaceDE/>
        <w:autoSpaceDN/>
        <w:adjustRightInd/>
        <w:spacing w:after="60"/>
        <w:ind w:firstLine="0"/>
        <w:textAlignment w:val="auto"/>
        <w:rPr>
          <w:szCs w:val="20"/>
        </w:rPr>
      </w:pPr>
      <w:r w:rsidRPr="00577074">
        <w:rPr>
          <w:szCs w:val="20"/>
        </w:rPr>
        <w:t>„ - uređena i neuređena područja.“</w:t>
      </w:r>
    </w:p>
    <w:p w:rsidR="00A168FC" w:rsidRPr="00577074" w:rsidRDefault="00A168FC" w:rsidP="00A168FC">
      <w:pPr>
        <w:widowControl w:val="0"/>
        <w:overflowPunct/>
        <w:autoSpaceDE/>
        <w:autoSpaceDN/>
        <w:adjustRightInd/>
        <w:spacing w:after="60"/>
        <w:ind w:firstLine="0"/>
        <w:textAlignment w:val="auto"/>
        <w:rPr>
          <w:color w:val="4BACC6" w:themeColor="accent5"/>
          <w:szCs w:val="20"/>
        </w:rPr>
      </w:pPr>
    </w:p>
    <w:p w:rsidR="00A168FC" w:rsidRPr="00577074" w:rsidRDefault="00A168FC" w:rsidP="00A168FC">
      <w:pPr>
        <w:pStyle w:val="Normalstavci"/>
        <w:numPr>
          <w:ilvl w:val="0"/>
          <w:numId w:val="7"/>
        </w:numPr>
      </w:pPr>
      <w:r w:rsidRPr="00577074">
        <w:lastRenderedPageBreak/>
        <w:t>U članku 13. stavku 3. tekst: „komunalno“ se briše.</w:t>
      </w:r>
    </w:p>
    <w:p w:rsidR="00A168FC" w:rsidRPr="00577074" w:rsidRDefault="00A168FC" w:rsidP="00A168FC">
      <w:pPr>
        <w:pStyle w:val="Normalstavci"/>
        <w:numPr>
          <w:ilvl w:val="0"/>
          <w:numId w:val="7"/>
        </w:numPr>
      </w:pPr>
      <w:r w:rsidRPr="00577074">
        <w:t>U članku 13. stavku 4. tekst: „komunalno“ se briše.</w:t>
      </w:r>
    </w:p>
    <w:p w:rsidR="00A168FC" w:rsidRPr="00577074" w:rsidRDefault="00A168FC" w:rsidP="00A168FC">
      <w:pPr>
        <w:pStyle w:val="Normalstavci"/>
        <w:numPr>
          <w:ilvl w:val="0"/>
          <w:numId w:val="7"/>
        </w:numPr>
      </w:pPr>
      <w:r w:rsidRPr="00577074">
        <w:t>U članku 13. stavku 5. tekst: „provedbenih prostornih planova“ zamjenjuje se tekstom: „prostornog plana užega područja“.</w:t>
      </w:r>
    </w:p>
    <w:p w:rsidR="00A168FC" w:rsidRPr="00577074" w:rsidRDefault="00A168FC" w:rsidP="00A168FC">
      <w:pPr>
        <w:pStyle w:val="Normalstavci"/>
        <w:numPr>
          <w:ilvl w:val="0"/>
          <w:numId w:val="7"/>
        </w:numPr>
      </w:pPr>
      <w:r w:rsidRPr="00577074">
        <w:t>U članku 13. stavku 6. tekst: „komunalno“ se briše, a tekst: „provedbenog prostornog plana“ zamjenjuje se tekstom: „prostornog plana užega područja“.</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51"/>
        </w:numPr>
      </w:pPr>
      <w:r w:rsidRPr="00577074">
        <w:t>U članku 17. stavku 8. tekst: „provedbenim prostornim planom“ zamjenjuje se tekstom: „prostornim planom užega područja“.</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52"/>
        </w:numPr>
      </w:pPr>
      <w:r w:rsidRPr="00577074">
        <w:t>U članku 18. stavku 2. alineja 3. se briše.</w:t>
      </w:r>
    </w:p>
    <w:p w:rsidR="00A168FC" w:rsidRPr="00577074" w:rsidRDefault="00A168FC" w:rsidP="00A168FC">
      <w:pPr>
        <w:pStyle w:val="Normalstavci"/>
        <w:numPr>
          <w:ilvl w:val="0"/>
          <w:numId w:val="38"/>
        </w:numPr>
      </w:pPr>
      <w:r w:rsidRPr="00577074">
        <w:t>U članku 18. stavku 8. tekst: „provedbenim prostornim planom“ zamjenjuje se tekstom: „prostornim planom užega područja“.</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69"/>
        </w:numPr>
      </w:pPr>
      <w:r w:rsidRPr="00577074">
        <w:t>U članku 21. stavku 2. alineja 4. se briše.</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9"/>
        </w:numPr>
      </w:pPr>
      <w:r w:rsidRPr="00577074">
        <w:t>U članku 36. stavku 1. iza alineje 3. dodaje se nova alineja 4. koja glasi:</w:t>
      </w:r>
    </w:p>
    <w:p w:rsidR="00A168FC" w:rsidRPr="00577074" w:rsidRDefault="00A168FC" w:rsidP="00A168FC"/>
    <w:p w:rsidR="00A168FC" w:rsidRPr="00577074" w:rsidRDefault="00A168FC" w:rsidP="00A168FC">
      <w:pPr>
        <w:ind w:firstLine="0"/>
      </w:pPr>
      <w:r>
        <w:t xml:space="preserve"> </w:t>
      </w:r>
      <w:r w:rsidRPr="00577074">
        <w:t>„- temeljem odredbi Prostornog plana Međimurske županije, kod nove gradnje i kod zamjenske gradnje zabranjeno je postavljati pročelje osnovne građevine na udaljenosti većoj od 10,0 m od linije regulacije ulice.“</w:t>
      </w:r>
    </w:p>
    <w:p w:rsidR="00A168FC" w:rsidRPr="00577074" w:rsidRDefault="00A168FC" w:rsidP="00A168FC"/>
    <w:p w:rsidR="00A168FC" w:rsidRPr="00577074" w:rsidRDefault="00A168FC" w:rsidP="00A168FC">
      <w:pPr>
        <w:pStyle w:val="Normalstavci"/>
        <w:numPr>
          <w:ilvl w:val="0"/>
          <w:numId w:val="9"/>
        </w:numPr>
      </w:pPr>
      <w:r w:rsidRPr="00577074">
        <w:t>U članku 36. stavku 2. tekst: „komunalno“ se briše, a tekst: „provedbenog prostornog plana“ zamjenjuje se tekstom: „prostornog plana užega područja“.</w:t>
      </w:r>
    </w:p>
    <w:p w:rsidR="00A168FC" w:rsidRPr="00577074" w:rsidRDefault="00A168FC" w:rsidP="00A168FC">
      <w:pPr>
        <w:pStyle w:val="Normalstavci"/>
        <w:numPr>
          <w:ilvl w:val="0"/>
          <w:numId w:val="9"/>
        </w:numPr>
      </w:pPr>
      <w:r w:rsidRPr="00577074">
        <w:t>U članku 36. stavku 3. alineja 4. se briše, a dosadašnja alineja 5. postaje alineja 4.</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16"/>
        </w:numPr>
      </w:pPr>
      <w:r w:rsidRPr="00577074">
        <w:t>U članku 37. stavku 1. tekst: „provedbeno planiranje“ zamjenjuje se tekstom: „izradu prostornih planova užih područja“.</w:t>
      </w:r>
    </w:p>
    <w:p w:rsidR="00A168FC" w:rsidRPr="00577074" w:rsidRDefault="00A168FC" w:rsidP="00A168FC">
      <w:pPr>
        <w:pStyle w:val="Normalstavci"/>
        <w:numPr>
          <w:ilvl w:val="0"/>
          <w:numId w:val="16"/>
        </w:numPr>
      </w:pPr>
      <w:r w:rsidRPr="00577074">
        <w:t>U članku 37. stavku 1. alineji 3. tekst: „provedbenog planiranja“ zamjenjuje se tekstom: „izrade prostornog plana užega područja“.</w:t>
      </w:r>
    </w:p>
    <w:p w:rsidR="00A168FC" w:rsidRPr="00577074" w:rsidRDefault="00A168FC" w:rsidP="00A168FC">
      <w:pPr>
        <w:pStyle w:val="Normalstavci"/>
        <w:numPr>
          <w:ilvl w:val="0"/>
          <w:numId w:val="16"/>
        </w:numPr>
      </w:pPr>
      <w:r w:rsidRPr="00577074">
        <w:t xml:space="preserve">U članku 37. stavku 1. alineji 3. </w:t>
      </w:r>
      <w:proofErr w:type="spellStart"/>
      <w:r w:rsidRPr="00577074">
        <w:t>podalineja</w:t>
      </w:r>
      <w:proofErr w:type="spellEnd"/>
      <w:r w:rsidRPr="00577074">
        <w:t xml:space="preserve"> 1. se briše, a dosadašnje </w:t>
      </w:r>
      <w:proofErr w:type="spellStart"/>
      <w:r w:rsidRPr="00577074">
        <w:t>podalineje</w:t>
      </w:r>
      <w:proofErr w:type="spellEnd"/>
      <w:r w:rsidRPr="00577074">
        <w:t xml:space="preserve"> 2. i 3. postaju </w:t>
      </w:r>
      <w:proofErr w:type="spellStart"/>
      <w:r w:rsidRPr="00577074">
        <w:t>podalineje</w:t>
      </w:r>
      <w:proofErr w:type="spellEnd"/>
      <w:r w:rsidRPr="00577074">
        <w:t xml:space="preserve"> 1. i 2.</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17"/>
        </w:numPr>
      </w:pPr>
      <w:r w:rsidRPr="00577074">
        <w:t>U članku 41. iza stavka 1. dodaju se novi stavci 2. i 3. koji glase:</w:t>
      </w:r>
    </w:p>
    <w:p w:rsidR="00A168FC" w:rsidRPr="00577074" w:rsidRDefault="00A168FC" w:rsidP="00A168FC">
      <w:pPr>
        <w:pStyle w:val="Normalstavci"/>
        <w:numPr>
          <w:ilvl w:val="0"/>
          <w:numId w:val="0"/>
        </w:numPr>
        <w:ind w:left="360" w:hanging="360"/>
      </w:pPr>
    </w:p>
    <w:p w:rsidR="00A168FC" w:rsidRPr="00577074" w:rsidRDefault="00A168FC" w:rsidP="00A168FC">
      <w:pPr>
        <w:widowControl w:val="0"/>
        <w:overflowPunct/>
        <w:autoSpaceDE/>
        <w:autoSpaceDN/>
        <w:adjustRightInd/>
        <w:spacing w:after="60"/>
        <w:ind w:firstLine="0"/>
        <w:textAlignment w:val="auto"/>
        <w:rPr>
          <w:snapToGrid w:val="0"/>
          <w:szCs w:val="20"/>
          <w:lang w:eastAsia="en-US"/>
        </w:rPr>
      </w:pPr>
      <w:r w:rsidRPr="00577074">
        <w:rPr>
          <w:snapToGrid w:val="0"/>
          <w:szCs w:val="20"/>
          <w:lang w:eastAsia="en-US"/>
        </w:rPr>
        <w:t xml:space="preserve">„(2) </w:t>
      </w:r>
      <w:r w:rsidRPr="00577074">
        <w:rPr>
          <w:b/>
          <w:snapToGrid w:val="0"/>
          <w:szCs w:val="20"/>
          <w:lang w:eastAsia="en-US"/>
        </w:rPr>
        <w:t xml:space="preserve">Za sve zgrade </w:t>
      </w:r>
      <w:r w:rsidRPr="00577074">
        <w:rPr>
          <w:snapToGrid w:val="0"/>
          <w:szCs w:val="20"/>
          <w:lang w:eastAsia="en-US"/>
        </w:rPr>
        <w:t>unutar mješovitih zona i u ugostiteljsko – turističkoj zoni (oznake M1, M2 i T), treća nadzemna etaža obavezno se oblikuje kao potkrovlje (</w:t>
      </w:r>
      <w:proofErr w:type="spellStart"/>
      <w:r w:rsidRPr="00577074">
        <w:rPr>
          <w:snapToGrid w:val="0"/>
          <w:szCs w:val="20"/>
          <w:lang w:eastAsia="en-US"/>
        </w:rPr>
        <w:t>Pk</w:t>
      </w:r>
      <w:proofErr w:type="spellEnd"/>
      <w:r w:rsidRPr="00577074">
        <w:rPr>
          <w:snapToGrid w:val="0"/>
          <w:szCs w:val="20"/>
          <w:lang w:eastAsia="en-US"/>
        </w:rPr>
        <w:t>), a gradnje treće nadzemne etaže kao nepotpune etaže (NE) na cijelom području Općine je zabranjena temeljem članka 67. odredbi za provedbu Prostornog plana Međimurske županije.</w:t>
      </w:r>
    </w:p>
    <w:p w:rsidR="00A168FC" w:rsidRPr="00577074" w:rsidRDefault="00A168FC" w:rsidP="00A168FC">
      <w:pPr>
        <w:widowControl w:val="0"/>
        <w:overflowPunct/>
        <w:autoSpaceDE/>
        <w:autoSpaceDN/>
        <w:adjustRightInd/>
        <w:spacing w:after="60"/>
        <w:ind w:firstLine="0"/>
        <w:textAlignment w:val="auto"/>
        <w:rPr>
          <w:snapToGrid w:val="0"/>
          <w:szCs w:val="20"/>
          <w:lang w:eastAsia="en-US"/>
        </w:rPr>
      </w:pPr>
      <w:r>
        <w:rPr>
          <w:snapToGrid w:val="0"/>
          <w:szCs w:val="20"/>
          <w:lang w:eastAsia="en-US"/>
        </w:rPr>
        <w:t xml:space="preserve"> </w:t>
      </w:r>
      <w:r w:rsidRPr="00577074">
        <w:rPr>
          <w:snapToGrid w:val="0"/>
          <w:szCs w:val="20"/>
          <w:lang w:eastAsia="en-US"/>
        </w:rPr>
        <w:t xml:space="preserve">(3) </w:t>
      </w:r>
      <w:r w:rsidRPr="00577074">
        <w:rPr>
          <w:b/>
          <w:snapToGrid w:val="0"/>
          <w:szCs w:val="20"/>
          <w:lang w:eastAsia="en-US"/>
        </w:rPr>
        <w:t>Za sve zgrade s namjenom povremeno stanovanje</w:t>
      </w:r>
      <w:r w:rsidRPr="00577074">
        <w:rPr>
          <w:snapToGrid w:val="0"/>
          <w:szCs w:val="20"/>
          <w:lang w:eastAsia="en-US"/>
        </w:rPr>
        <w:t xml:space="preserve">, </w:t>
      </w:r>
      <w:r w:rsidRPr="00577074">
        <w:rPr>
          <w:snapToGrid w:val="0"/>
          <w:szCs w:val="20"/>
          <w:u w:val="single"/>
          <w:lang w:eastAsia="en-US"/>
        </w:rPr>
        <w:t>bez obzira u kojoj se funkcionalnoj zoni nalaze (oznake M1, M2 ili T),</w:t>
      </w:r>
      <w:r w:rsidRPr="00577074">
        <w:rPr>
          <w:snapToGrid w:val="0"/>
          <w:szCs w:val="20"/>
          <w:lang w:eastAsia="en-US"/>
        </w:rPr>
        <w:t xml:space="preserve"> obvezna je primjena kriterija određenog za stambene kuće za povremeno stanovanje iz članka 69. odredbi za provedbu Prostornog plana Međimurske županije, odnosno </w:t>
      </w:r>
      <w:r w:rsidRPr="00577074">
        <w:rPr>
          <w:b/>
          <w:snapToGrid w:val="0"/>
          <w:szCs w:val="20"/>
          <w:lang w:eastAsia="en-US"/>
        </w:rPr>
        <w:t>tlocrtni gabarit takve zgrade ne može biti manji od 30,0 m2</w:t>
      </w:r>
      <w:r w:rsidRPr="00577074">
        <w:rPr>
          <w:snapToGrid w:val="0"/>
          <w:szCs w:val="20"/>
          <w:lang w:eastAsia="en-US"/>
        </w:rPr>
        <w:t xml:space="preserve">, a </w:t>
      </w:r>
      <w:r w:rsidRPr="00577074">
        <w:rPr>
          <w:b/>
          <w:snapToGrid w:val="0"/>
          <w:szCs w:val="20"/>
          <w:lang w:eastAsia="en-US"/>
        </w:rPr>
        <w:t>najveća visina (vijenca) takve zgrade utvrđuje se s 3,2 m</w:t>
      </w:r>
      <w:r w:rsidRPr="00577074">
        <w:rPr>
          <w:snapToGrid w:val="0"/>
          <w:szCs w:val="20"/>
          <w:lang w:eastAsia="en-US"/>
        </w:rPr>
        <w:t>.“</w:t>
      </w:r>
    </w:p>
    <w:p w:rsidR="00A168FC" w:rsidRPr="00577074" w:rsidRDefault="00A168FC" w:rsidP="00A168FC">
      <w:pPr>
        <w:pStyle w:val="Normalstavci"/>
        <w:numPr>
          <w:ilvl w:val="0"/>
          <w:numId w:val="0"/>
        </w:numPr>
        <w:ind w:left="360" w:hanging="360"/>
      </w:pPr>
    </w:p>
    <w:p w:rsidR="00A168FC" w:rsidRPr="00577074" w:rsidRDefault="00A168FC" w:rsidP="00A168FC">
      <w:pPr>
        <w:pStyle w:val="Normalstavci"/>
        <w:numPr>
          <w:ilvl w:val="0"/>
          <w:numId w:val="17"/>
        </w:numPr>
      </w:pPr>
      <w:r w:rsidRPr="00577074">
        <w:lastRenderedPageBreak/>
        <w:t>U članku 41. dosadašnji stavci od 2. do 5. postaju stavci od 4. do 7.</w:t>
      </w:r>
    </w:p>
    <w:p w:rsidR="00A168FC" w:rsidRPr="00577074" w:rsidRDefault="00A168FC" w:rsidP="00A168FC">
      <w:pPr>
        <w:pStyle w:val="Normalstavci"/>
        <w:numPr>
          <w:ilvl w:val="0"/>
          <w:numId w:val="38"/>
        </w:numPr>
      </w:pPr>
      <w:r w:rsidRPr="00577074">
        <w:t>U članku 41. stavku 5. tekst: „provedbenim prostornim planom“ zamjenjuje se tekstom: „prostornim planom užega područja“.</w:t>
      </w:r>
    </w:p>
    <w:p w:rsidR="00A168FC" w:rsidRPr="00577074" w:rsidRDefault="00A168FC" w:rsidP="00A168FC">
      <w:pPr>
        <w:pStyle w:val="Normalstavci"/>
        <w:numPr>
          <w:ilvl w:val="0"/>
          <w:numId w:val="38"/>
        </w:numPr>
      </w:pPr>
      <w:r w:rsidRPr="00577074">
        <w:t>U članku 41. stavku 6. tekst: „provedbenim prostornim planom“ zamjenjuje se tekstom: „prostornim planom užega područja“.</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18"/>
        </w:numPr>
      </w:pPr>
      <w:r w:rsidRPr="00577074">
        <w:t>Članak 42. mijenja se i glasi:</w:t>
      </w:r>
    </w:p>
    <w:p w:rsidR="00A168FC" w:rsidRPr="00577074" w:rsidRDefault="00A168FC" w:rsidP="00A168FC">
      <w:pPr>
        <w:pStyle w:val="Normalstavci"/>
        <w:numPr>
          <w:ilvl w:val="0"/>
          <w:numId w:val="0"/>
        </w:numPr>
        <w:ind w:left="360" w:hanging="360"/>
      </w:pPr>
    </w:p>
    <w:p w:rsidR="00A168FC" w:rsidRPr="00577074" w:rsidRDefault="00A168FC" w:rsidP="00A168FC">
      <w:pPr>
        <w:widowControl w:val="0"/>
        <w:tabs>
          <w:tab w:val="left" w:pos="851"/>
        </w:tabs>
        <w:overflowPunct/>
        <w:autoSpaceDE/>
        <w:autoSpaceDN/>
        <w:adjustRightInd/>
        <w:spacing w:after="60"/>
        <w:ind w:firstLine="0"/>
        <w:textAlignment w:val="auto"/>
        <w:outlineLvl w:val="0"/>
        <w:rPr>
          <w:szCs w:val="20"/>
        </w:rPr>
      </w:pPr>
      <w:r w:rsidRPr="00577074">
        <w:rPr>
          <w:szCs w:val="20"/>
        </w:rPr>
        <w:t xml:space="preserve">„(1) U slučaju većeg prirodnog </w:t>
      </w:r>
      <w:proofErr w:type="spellStart"/>
      <w:r w:rsidRPr="00577074">
        <w:rPr>
          <w:szCs w:val="20"/>
        </w:rPr>
        <w:t>pokosa</w:t>
      </w:r>
      <w:proofErr w:type="spellEnd"/>
      <w:r w:rsidRPr="00577074">
        <w:rPr>
          <w:szCs w:val="20"/>
        </w:rPr>
        <w:t xml:space="preserve"> na čestici, moguće je umjesto podruma izvesti etažu suterena.</w:t>
      </w:r>
    </w:p>
    <w:p w:rsidR="00A168FC" w:rsidRPr="00577074" w:rsidRDefault="00A168FC" w:rsidP="00A168FC">
      <w:pPr>
        <w:widowControl w:val="0"/>
        <w:tabs>
          <w:tab w:val="left" w:pos="851"/>
        </w:tabs>
        <w:overflowPunct/>
        <w:autoSpaceDE/>
        <w:autoSpaceDN/>
        <w:adjustRightInd/>
        <w:spacing w:after="60"/>
        <w:ind w:firstLine="0"/>
        <w:textAlignment w:val="auto"/>
        <w:outlineLvl w:val="0"/>
        <w:rPr>
          <w:szCs w:val="20"/>
        </w:rPr>
      </w:pPr>
      <w:r w:rsidRPr="00577074">
        <w:rPr>
          <w:szCs w:val="20"/>
        </w:rPr>
        <w:t xml:space="preserve"> (2) U slučaju gradnje suterena, visina (vijenca) građevine mjeri se od najviše točke uređenog terena uz pročelje građevine, osim ukoliko je najviša točka uređenog terena viša od gornje kote stropne konstrukcije suterena, u kom slučaju se visina (vijenca) građevine mjeri od gornje kote stropne konstrukcije suterena.</w:t>
      </w:r>
    </w:p>
    <w:p w:rsidR="00A168FC" w:rsidRPr="00577074" w:rsidRDefault="00A168FC" w:rsidP="00A168FC">
      <w:pPr>
        <w:widowControl w:val="0"/>
        <w:tabs>
          <w:tab w:val="left" w:pos="851"/>
        </w:tabs>
        <w:overflowPunct/>
        <w:autoSpaceDE/>
        <w:autoSpaceDN/>
        <w:adjustRightInd/>
        <w:spacing w:after="60"/>
        <w:ind w:firstLine="0"/>
        <w:textAlignment w:val="auto"/>
        <w:outlineLvl w:val="0"/>
        <w:rPr>
          <w:szCs w:val="20"/>
        </w:rPr>
      </w:pPr>
      <w:r w:rsidRPr="00577074">
        <w:rPr>
          <w:szCs w:val="20"/>
        </w:rPr>
        <w:t xml:space="preserve"> (3) U slučaju da širina građevine omogućava gradnju </w:t>
      </w:r>
      <w:proofErr w:type="spellStart"/>
      <w:r w:rsidRPr="00577074">
        <w:rPr>
          <w:szCs w:val="20"/>
        </w:rPr>
        <w:t>dvoetažnog</w:t>
      </w:r>
      <w:proofErr w:type="spellEnd"/>
      <w:r w:rsidRPr="00577074">
        <w:rPr>
          <w:szCs w:val="20"/>
        </w:rPr>
        <w:t xml:space="preserve"> potkrovlja, svaka od etaža potkrovlja smatra se zasebnom etažom, ali je </w:t>
      </w:r>
      <w:proofErr w:type="spellStart"/>
      <w:r w:rsidRPr="00577074">
        <w:rPr>
          <w:szCs w:val="20"/>
        </w:rPr>
        <w:t>dvoetažno</w:t>
      </w:r>
      <w:proofErr w:type="spellEnd"/>
      <w:r w:rsidRPr="00577074">
        <w:rPr>
          <w:szCs w:val="20"/>
        </w:rPr>
        <w:t xml:space="preserve"> potkrovlje moguće predvidjeti samo ukoliko ukupni broj tako iskazanih nadzemnih etaža ne prelazi tri (3).“</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53"/>
        </w:numPr>
      </w:pPr>
      <w:r w:rsidRPr="00577074">
        <w:t>U članku 54. stavku 1. tekst: „provedbenim prostornim planom“ zamjenjuje se tekstom: „prostornim planom užega područja“.</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54"/>
        </w:numPr>
      </w:pPr>
      <w:r w:rsidRPr="00577074">
        <w:t>U članku 56. stavku 2. tekst: „153/09, 63/11, 130/11, 56/13, 14/14, 46/18“  zamjenjuje se tekstom: „66/19, 84/21“.</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55"/>
        </w:numPr>
      </w:pPr>
      <w:r w:rsidRPr="00577074">
        <w:t>U članku 69. stavku 2. tekst: „provedbenih prostornih planova“ zamjenjuje se tekstom: „prostornih planova užih područja“.</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56"/>
        </w:numPr>
      </w:pPr>
      <w:r w:rsidRPr="00577074">
        <w:t>Iza članka 71. dodaje s novi članak 71a. koji glasi:</w:t>
      </w:r>
    </w:p>
    <w:p w:rsidR="00A168FC" w:rsidRPr="00577074" w:rsidRDefault="00A168FC" w:rsidP="00A168FC">
      <w:pPr>
        <w:pStyle w:val="lanak"/>
        <w:rPr>
          <w:b w:val="0"/>
        </w:rPr>
      </w:pPr>
      <w:r w:rsidRPr="00577074">
        <w:rPr>
          <w:b w:val="0"/>
        </w:rPr>
        <w:t>„Članak 71a.</w:t>
      </w:r>
    </w:p>
    <w:p w:rsidR="00A168FC" w:rsidRPr="00577074" w:rsidRDefault="00A168FC" w:rsidP="00A168FC">
      <w:pPr>
        <w:widowControl w:val="0"/>
        <w:tabs>
          <w:tab w:val="left" w:pos="851"/>
        </w:tabs>
        <w:overflowPunct/>
        <w:autoSpaceDE/>
        <w:autoSpaceDN/>
        <w:adjustRightInd/>
        <w:spacing w:after="60"/>
        <w:ind w:firstLine="0"/>
        <w:textAlignment w:val="auto"/>
        <w:outlineLvl w:val="0"/>
        <w:rPr>
          <w:szCs w:val="20"/>
        </w:rPr>
      </w:pPr>
      <w:r w:rsidRPr="00577074">
        <w:rPr>
          <w:szCs w:val="20"/>
        </w:rPr>
        <w:t>(1) Temeljem članka 73. Prostornog plana Međimurske županije, najmanja međusobna udaljenost građevina na istoj građevnoj čestici gospodarske namjene ne može biti manja od njihove prosječne visine ½ (H1+H2), ali ne manje od 4,0 m.“</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57"/>
        </w:numPr>
      </w:pPr>
      <w:r w:rsidRPr="00577074">
        <w:t>U članku 77. stavku 2. iza teksta: „115/18“ dodaje se zarez i tekst: „98/19, 57/22“.</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58"/>
        </w:numPr>
      </w:pPr>
      <w:r w:rsidRPr="00577074">
        <w:t>U članku 91. stavku 4. tekst: „Pravilniku o držanju pčela i katastru pčelinje paše ("Narodne novine", br. 18/08, 29/13, 42/13, 65/14)“ zamjenjuje se tekstom: „posebnom propisu za držanje pčela.“</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59"/>
        </w:numPr>
      </w:pPr>
      <w:r w:rsidRPr="00577074">
        <w:t>U članku 93. stavku 1. iza teksta: „68/18“ dodaje se zarez i tekst: „115/18, 98/19, 32/20, 145/20“.</w:t>
      </w:r>
    </w:p>
    <w:p w:rsidR="00A168FC" w:rsidRPr="00577074" w:rsidRDefault="00A168FC" w:rsidP="00A168FC">
      <w:pPr>
        <w:pStyle w:val="lanak"/>
      </w:pPr>
      <w:r w:rsidRPr="00577074">
        <w:lastRenderedPageBreak/>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19"/>
        </w:numPr>
      </w:pPr>
      <w:r w:rsidRPr="00577074">
        <w:t>Iza poglavlja 3.3.4. „Istraživanje i eksploatacija mineralnih sirovina“ dodaje se novi članak 96a. koji glasi:</w:t>
      </w:r>
    </w:p>
    <w:p w:rsidR="00A168FC" w:rsidRPr="00577074" w:rsidRDefault="00A168FC" w:rsidP="00A168FC">
      <w:pPr>
        <w:pStyle w:val="lanak"/>
        <w:rPr>
          <w:b w:val="0"/>
          <w:snapToGrid w:val="0"/>
        </w:rPr>
      </w:pPr>
      <w:r w:rsidRPr="00577074">
        <w:rPr>
          <w:b w:val="0"/>
        </w:rPr>
        <w:t>„Članak 96a.</w:t>
      </w:r>
    </w:p>
    <w:p w:rsidR="00A168FC" w:rsidRPr="00577074" w:rsidRDefault="00A168FC" w:rsidP="00A168FC">
      <w:pPr>
        <w:widowControl w:val="0"/>
        <w:overflowPunct/>
        <w:autoSpaceDE/>
        <w:autoSpaceDN/>
        <w:adjustRightInd/>
        <w:spacing w:after="60"/>
        <w:ind w:firstLine="0"/>
        <w:textAlignment w:val="auto"/>
        <w:rPr>
          <w:snapToGrid w:val="0"/>
          <w:szCs w:val="20"/>
        </w:rPr>
      </w:pPr>
      <w:r w:rsidRPr="00577074">
        <w:rPr>
          <w:snapToGrid w:val="0"/>
          <w:szCs w:val="20"/>
        </w:rPr>
        <w:t>(1) Zahvati u funkciji istraživanja i eksploatacije mineralnih sirovina, kao i sanacija površina po završenoj eksploataciji i na drugi način obustavljenoj eksploataciji, provode se neposredno prema posebnim zakonima i drugim propisima kojima se reguliraju navedene djelatnosti i  neposredno prema uvjetima iz Prostornog plana Međimurske županije.</w:t>
      </w:r>
    </w:p>
    <w:p w:rsidR="00A168FC" w:rsidRPr="00577074" w:rsidRDefault="00A168FC" w:rsidP="00A168FC">
      <w:pPr>
        <w:widowControl w:val="0"/>
        <w:overflowPunct/>
        <w:autoSpaceDE/>
        <w:autoSpaceDN/>
        <w:adjustRightInd/>
        <w:spacing w:after="60"/>
        <w:ind w:firstLine="0"/>
        <w:textAlignment w:val="auto"/>
        <w:rPr>
          <w:snapToGrid w:val="0"/>
          <w:szCs w:val="20"/>
        </w:rPr>
      </w:pPr>
      <w:r w:rsidRPr="00577074">
        <w:rPr>
          <w:snapToGrid w:val="0"/>
          <w:szCs w:val="20"/>
        </w:rPr>
        <w:t>(2) Svi zahvati trebaju se planirati i izvoditi na način da se osiguraju mjere zaštite okoliša i prirode i spriječe emisije štetnih tvari u zrak i povećanje buke u smjeru građevinskih područja.“</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20"/>
        </w:numPr>
      </w:pPr>
      <w:r w:rsidRPr="00577074">
        <w:t>U poglavlju 3.3.4.1. tekst: „Energetske mineralne sirovine“ zamjenjuje se tekstom: „Ugljikovodici i geotermalna voda za korištenje u energetske svrhe“.</w:t>
      </w:r>
    </w:p>
    <w:p w:rsidR="00A168FC" w:rsidRPr="00577074" w:rsidRDefault="00A168FC" w:rsidP="00A168FC">
      <w:pPr>
        <w:pStyle w:val="Normalstavci"/>
        <w:numPr>
          <w:ilvl w:val="0"/>
          <w:numId w:val="0"/>
        </w:numPr>
        <w:ind w:left="360" w:hanging="360"/>
      </w:pP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21"/>
        </w:numPr>
      </w:pPr>
      <w:r w:rsidRPr="00577074">
        <w:t>Članak 97. mijenja se i glasi:</w:t>
      </w:r>
    </w:p>
    <w:p w:rsidR="00A168FC" w:rsidRPr="00577074" w:rsidRDefault="00A168FC" w:rsidP="00A168FC">
      <w:pPr>
        <w:pStyle w:val="Normalstavci"/>
        <w:numPr>
          <w:ilvl w:val="0"/>
          <w:numId w:val="0"/>
        </w:numPr>
        <w:ind w:left="360" w:hanging="360"/>
      </w:pPr>
    </w:p>
    <w:p w:rsidR="00A168FC" w:rsidRPr="00577074" w:rsidRDefault="00A168FC" w:rsidP="00A168FC">
      <w:pPr>
        <w:widowControl w:val="0"/>
        <w:overflowPunct/>
        <w:autoSpaceDE/>
        <w:autoSpaceDN/>
        <w:adjustRightInd/>
        <w:spacing w:after="60"/>
        <w:ind w:firstLine="0"/>
        <w:textAlignment w:val="auto"/>
        <w:rPr>
          <w:snapToGrid w:val="0"/>
          <w:szCs w:val="20"/>
          <w:lang w:eastAsia="en-US"/>
        </w:rPr>
      </w:pPr>
      <w:r w:rsidRPr="00577074">
        <w:rPr>
          <w:snapToGrid w:val="0"/>
          <w:szCs w:val="20"/>
          <w:lang w:eastAsia="en-US"/>
        </w:rPr>
        <w:t>„(1) Eksploatacijska polja, istražni prostori i površine s potencijalom za istraživanje i eksploataciju ugljikovodika i geotermalne vode za korištenje u energetske svrhe, na općinskom području, navedeni su u poglavlju 2.1. „Građevine od državnog i županijskog značaja“.</w:t>
      </w:r>
    </w:p>
    <w:p w:rsidR="00A168FC" w:rsidRPr="00577074" w:rsidRDefault="00A168FC" w:rsidP="00A168FC">
      <w:pPr>
        <w:widowControl w:val="0"/>
        <w:overflowPunct/>
        <w:autoSpaceDE/>
        <w:autoSpaceDN/>
        <w:adjustRightInd/>
        <w:spacing w:after="60"/>
        <w:ind w:firstLine="0"/>
        <w:textAlignment w:val="auto"/>
        <w:rPr>
          <w:snapToGrid w:val="0"/>
          <w:szCs w:val="20"/>
          <w:lang w:eastAsia="en-US"/>
        </w:rPr>
      </w:pPr>
      <w:r w:rsidRPr="00577074">
        <w:rPr>
          <w:snapToGrid w:val="0"/>
          <w:szCs w:val="20"/>
          <w:lang w:eastAsia="en-US"/>
        </w:rPr>
        <w:t>(2) Sve aktivnosti koje se provode za potrebe istraživanja i eksploatacije ugljikovodika trebaju biti u skladu s Okvirnim planom i programom istraživanja i eksploatacije ugljikovodika na kopnu i Strateškom procjenom utjecaja na okoliš Okvirnog plana i programa istraživanja i eksploatacije ugljikovodika na kopnu.</w:t>
      </w:r>
    </w:p>
    <w:p w:rsidR="00A168FC" w:rsidRPr="00577074" w:rsidRDefault="00A168FC" w:rsidP="00A168FC">
      <w:pPr>
        <w:widowControl w:val="0"/>
        <w:overflowPunct/>
        <w:autoSpaceDE/>
        <w:autoSpaceDN/>
        <w:adjustRightInd/>
        <w:spacing w:after="60"/>
        <w:ind w:firstLine="0"/>
        <w:textAlignment w:val="auto"/>
        <w:rPr>
          <w:snapToGrid w:val="0"/>
          <w:szCs w:val="20"/>
          <w:lang w:eastAsia="en-US"/>
        </w:rPr>
      </w:pPr>
      <w:r w:rsidRPr="00577074">
        <w:rPr>
          <w:snapToGrid w:val="0"/>
          <w:szCs w:val="20"/>
          <w:lang w:eastAsia="en-US"/>
        </w:rPr>
        <w:t>(3) Aktivnosti koje se provode za potrebe istraživanja geotermalne vode u energetske svrhe mogu se provoditi u skladu s geotermalnim potencijalom, odnosno utvrđivanje istražnih prostora geotermalne vode za energetske svrhe dozvoljeno je, u skladu s posebnim propisima na cijelom općinskom području.“</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60"/>
        </w:numPr>
      </w:pPr>
      <w:r w:rsidRPr="00577074">
        <w:t>U članku 98. stavak 1. mijenja se i glasi:</w:t>
      </w:r>
    </w:p>
    <w:p w:rsidR="00A168FC" w:rsidRPr="00577074" w:rsidRDefault="00A168FC" w:rsidP="00A168FC">
      <w:pPr>
        <w:tabs>
          <w:tab w:val="left" w:pos="851"/>
        </w:tabs>
        <w:overflowPunct/>
        <w:autoSpaceDE/>
        <w:autoSpaceDN/>
        <w:adjustRightInd/>
        <w:ind w:left="284" w:hanging="284"/>
        <w:textAlignment w:val="auto"/>
        <w:outlineLvl w:val="0"/>
        <w:rPr>
          <w:szCs w:val="20"/>
        </w:rPr>
      </w:pPr>
    </w:p>
    <w:p w:rsidR="00A168FC" w:rsidRPr="00577074" w:rsidRDefault="00A168FC" w:rsidP="00A168FC">
      <w:pPr>
        <w:widowControl w:val="0"/>
        <w:overflowPunct/>
        <w:autoSpaceDE/>
        <w:autoSpaceDN/>
        <w:adjustRightInd/>
        <w:spacing w:after="60"/>
        <w:ind w:firstLine="0"/>
        <w:textAlignment w:val="auto"/>
        <w:rPr>
          <w:szCs w:val="20"/>
          <w:lang w:eastAsia="en-US"/>
        </w:rPr>
      </w:pPr>
      <w:r w:rsidRPr="00577074">
        <w:rPr>
          <w:szCs w:val="20"/>
          <w:lang w:eastAsia="en-US"/>
        </w:rPr>
        <w:t xml:space="preserve">„(1) </w:t>
      </w:r>
      <w:r w:rsidRPr="00577074">
        <w:rPr>
          <w:szCs w:val="20"/>
          <w:u w:val="single"/>
          <w:lang w:eastAsia="en-US"/>
        </w:rPr>
        <w:t>Smještaj bušotina, kao i svi drugi zahvati</w:t>
      </w:r>
      <w:r w:rsidRPr="00577074">
        <w:rPr>
          <w:szCs w:val="20"/>
          <w:lang w:eastAsia="en-US"/>
        </w:rPr>
        <w:t xml:space="preserve"> u funkciji istraživanja i eksploatacije ugljikovodika i geotermalnih voda za korištenje u energetske svrhe provode se </w:t>
      </w:r>
      <w:r w:rsidRPr="00577074">
        <w:rPr>
          <w:szCs w:val="20"/>
          <w:u w:val="single"/>
          <w:lang w:eastAsia="en-US"/>
        </w:rPr>
        <w:t>neposrednom primjenom Prostornog plana Međimurske županije</w:t>
      </w:r>
      <w:r w:rsidRPr="00577074">
        <w:rPr>
          <w:szCs w:val="20"/>
          <w:lang w:eastAsia="en-US"/>
        </w:rPr>
        <w:t>.“</w:t>
      </w:r>
    </w:p>
    <w:p w:rsidR="00A168FC" w:rsidRPr="00577074" w:rsidRDefault="00A168FC" w:rsidP="00A168FC">
      <w:pPr>
        <w:tabs>
          <w:tab w:val="left" w:pos="851"/>
        </w:tabs>
        <w:overflowPunct/>
        <w:autoSpaceDE/>
        <w:autoSpaceDN/>
        <w:adjustRightInd/>
        <w:ind w:left="284" w:hanging="284"/>
        <w:textAlignment w:val="auto"/>
        <w:outlineLvl w:val="0"/>
        <w:rPr>
          <w:szCs w:val="20"/>
        </w:rPr>
      </w:pPr>
    </w:p>
    <w:p w:rsidR="00A168FC" w:rsidRPr="00577074" w:rsidRDefault="00A168FC" w:rsidP="00A168FC">
      <w:pPr>
        <w:pStyle w:val="Normalstavci"/>
        <w:numPr>
          <w:ilvl w:val="0"/>
          <w:numId w:val="38"/>
        </w:numPr>
      </w:pPr>
      <w:r w:rsidRPr="00577074">
        <w:t>U članku 98. stavak 2. se briše, a dosadašnji stavci 3. i 4. postaju stavci 2. i 3.</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10"/>
        </w:numPr>
      </w:pPr>
      <w:r w:rsidRPr="00577074">
        <w:t>Članak 99. mijenja se i glasi:</w:t>
      </w:r>
    </w:p>
    <w:p w:rsidR="00A168FC" w:rsidRPr="00577074" w:rsidRDefault="00A168FC" w:rsidP="00A168FC">
      <w:pPr>
        <w:pStyle w:val="Normalstavci"/>
        <w:numPr>
          <w:ilvl w:val="0"/>
          <w:numId w:val="0"/>
        </w:numPr>
        <w:ind w:left="360" w:hanging="360"/>
      </w:pPr>
    </w:p>
    <w:p w:rsidR="00A168FC" w:rsidRPr="00577074" w:rsidRDefault="00A168FC" w:rsidP="00A168FC">
      <w:pPr>
        <w:tabs>
          <w:tab w:val="left" w:pos="851"/>
        </w:tabs>
        <w:overflowPunct/>
        <w:autoSpaceDE/>
        <w:autoSpaceDN/>
        <w:adjustRightInd/>
        <w:ind w:firstLine="0"/>
        <w:textAlignment w:val="auto"/>
        <w:outlineLvl w:val="0"/>
        <w:rPr>
          <w:szCs w:val="20"/>
        </w:rPr>
      </w:pPr>
      <w:r w:rsidRPr="00577074">
        <w:rPr>
          <w:szCs w:val="20"/>
        </w:rPr>
        <w:t>„(1) U odnosu na druge potencijalne zahvate u blizini dubokih bušotina, potrebno je voditi računa da je posebnim sektorskim propisima utvrđeno da oko izgrađene bušotine za ugljikovodike zaštitna i požarna zona iznosi 30,0 m u polumjeru oko osi bušotine, a oko izgrađene bušotine geotermalne vode zaštitna i požarna zona iznosi 7,5 m u polumjeru od osi bušotine.“</w:t>
      </w:r>
    </w:p>
    <w:p w:rsidR="00A168FC" w:rsidRPr="00577074" w:rsidRDefault="00A168FC" w:rsidP="00A168FC">
      <w:pPr>
        <w:pStyle w:val="lanak"/>
      </w:pPr>
      <w:r w:rsidRPr="00577074">
        <w:lastRenderedPageBreak/>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pPr>
      <w:r w:rsidRPr="00577074">
        <w:t>U poglavlju 3.3.4.2. tekst: „</w:t>
      </w:r>
      <w:proofErr w:type="spellStart"/>
      <w:r w:rsidRPr="00577074">
        <w:t>Neenergetske</w:t>
      </w:r>
      <w:proofErr w:type="spellEnd"/>
      <w:r w:rsidRPr="00577074">
        <w:t>“ zamjenjuje se tekstom „Ostale“.</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22"/>
        </w:numPr>
      </w:pPr>
      <w:r w:rsidRPr="00577074">
        <w:t>Članak 101. mijenja se i glasi:</w:t>
      </w:r>
    </w:p>
    <w:p w:rsidR="00A168FC" w:rsidRPr="00577074" w:rsidRDefault="00A168FC" w:rsidP="00A168FC">
      <w:pPr>
        <w:pStyle w:val="Normalstavci"/>
        <w:numPr>
          <w:ilvl w:val="0"/>
          <w:numId w:val="0"/>
        </w:numPr>
        <w:ind w:left="360" w:hanging="360"/>
      </w:pPr>
    </w:p>
    <w:p w:rsidR="00A168FC" w:rsidRPr="00577074" w:rsidRDefault="00A168FC" w:rsidP="00A168FC">
      <w:pPr>
        <w:widowControl w:val="0"/>
        <w:overflowPunct/>
        <w:autoSpaceDE/>
        <w:autoSpaceDN/>
        <w:adjustRightInd/>
        <w:spacing w:after="60"/>
        <w:ind w:firstLine="0"/>
        <w:textAlignment w:val="auto"/>
        <w:rPr>
          <w:snapToGrid w:val="0"/>
          <w:szCs w:val="20"/>
          <w:lang w:eastAsia="en-US"/>
        </w:rPr>
      </w:pPr>
      <w:r w:rsidRPr="00577074">
        <w:rPr>
          <w:snapToGrid w:val="0"/>
          <w:szCs w:val="20"/>
          <w:lang w:eastAsia="en-US"/>
        </w:rPr>
        <w:t>„(1) Za ostale mineralne sirovine utvrđene Zakonom o rudarstvu (građevni pijesak i šljunak, kamen, glina i drugo) na općinskom području ne postoje istražna, niti eksploatacijska polja, ne planiraju se istraživanja u svrhu eksploatacije, niti eksploatacija.</w:t>
      </w:r>
    </w:p>
    <w:p w:rsidR="00A168FC" w:rsidRPr="00577074" w:rsidRDefault="00A168FC" w:rsidP="00A168FC">
      <w:pPr>
        <w:widowControl w:val="0"/>
        <w:overflowPunct/>
        <w:autoSpaceDE/>
        <w:autoSpaceDN/>
        <w:adjustRightInd/>
        <w:spacing w:after="60"/>
        <w:ind w:firstLine="0"/>
        <w:textAlignment w:val="auto"/>
        <w:rPr>
          <w:snapToGrid w:val="0"/>
          <w:szCs w:val="20"/>
          <w:lang w:eastAsia="en-US"/>
        </w:rPr>
      </w:pPr>
      <w:r w:rsidRPr="00577074">
        <w:rPr>
          <w:snapToGrid w:val="0"/>
          <w:szCs w:val="20"/>
          <w:lang w:eastAsia="en-US"/>
        </w:rPr>
        <w:t>(2) Smještaj deponije za višak iskopa koji predstavlja mineralnu sirovinu kod izvođenja građevinskih radova /oznaka VI/ moguć je unutar gospodarske, proizvodne zone u Brezju /oznaka I/.“</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23"/>
        </w:numPr>
      </w:pPr>
      <w:r w:rsidRPr="00577074">
        <w:t xml:space="preserve">U članku 103. stavku 3. tekst: „na način da odgovaraju Pravilniku o korištenju obnovljivih izvora energije i </w:t>
      </w:r>
      <w:proofErr w:type="spellStart"/>
      <w:r w:rsidRPr="00577074">
        <w:t>kogeneracije</w:t>
      </w:r>
      <w:proofErr w:type="spellEnd"/>
      <w:r w:rsidRPr="00577074">
        <w:t xml:space="preserve"> („Narodne novine“ broj 88/12), drugim posebnim propisima,“ zamjenjuje se tekstom: „prema posebnim propisima iz sektora OIE,“</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65"/>
        </w:numPr>
      </w:pPr>
      <w:r w:rsidRPr="00577074">
        <w:t>U članku 104. stavku 2. iza teksta: „individualne“ dodaje se tekst: „elektrane i/ili“.</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66"/>
        </w:numPr>
      </w:pPr>
      <w:r w:rsidRPr="00577074">
        <w:t>U članku 105. stavku 1. iza teksta: „tipovi“ dodaje se tekst: „elektrane i“.</w:t>
      </w:r>
    </w:p>
    <w:p w:rsidR="00A168FC" w:rsidRPr="00577074" w:rsidRDefault="00A168FC" w:rsidP="00A168FC">
      <w:pPr>
        <w:pStyle w:val="Normalstavci"/>
        <w:numPr>
          <w:ilvl w:val="0"/>
          <w:numId w:val="38"/>
        </w:numPr>
      </w:pPr>
      <w:r w:rsidRPr="00577074">
        <w:t>U članku 105. stavku 1. alineji 1. tekst: „sunčane energane“ zamjenjuje se tekstom: „sunčane elektrane“.</w:t>
      </w:r>
    </w:p>
    <w:p w:rsidR="00A168FC" w:rsidRPr="00577074" w:rsidRDefault="00A168FC" w:rsidP="00A168FC">
      <w:pPr>
        <w:pStyle w:val="Normalstavci"/>
        <w:numPr>
          <w:ilvl w:val="0"/>
          <w:numId w:val="38"/>
        </w:numPr>
      </w:pPr>
      <w:r w:rsidRPr="00577074">
        <w:t>U članku 105. stavku 1. alineji 2. tekst: „</w:t>
      </w:r>
      <w:proofErr w:type="spellStart"/>
      <w:r w:rsidRPr="00577074">
        <w:t>bioplinske</w:t>
      </w:r>
      <w:proofErr w:type="spellEnd"/>
      <w:r w:rsidRPr="00577074">
        <w:t xml:space="preserve"> i energane na biomasu“ zamjenjuje se tekstom: „elektrane i energane na bioplin i biomasu“.</w:t>
      </w:r>
    </w:p>
    <w:p w:rsidR="00A168FC" w:rsidRPr="00577074" w:rsidRDefault="00A168FC" w:rsidP="00A168FC">
      <w:pPr>
        <w:pStyle w:val="Normalstavci"/>
        <w:numPr>
          <w:ilvl w:val="0"/>
          <w:numId w:val="38"/>
        </w:numPr>
      </w:pPr>
      <w:r w:rsidRPr="00577074">
        <w:t>U članku 105. stavku 2. iza teksta: „komercijalne“ dodaje se tekst: „elektrane i/ili“.</w:t>
      </w:r>
    </w:p>
    <w:p w:rsidR="00A168FC" w:rsidRPr="00577074" w:rsidRDefault="00A168FC" w:rsidP="00A168FC">
      <w:pPr>
        <w:pStyle w:val="Normalstavci"/>
        <w:numPr>
          <w:ilvl w:val="0"/>
          <w:numId w:val="38"/>
        </w:numPr>
      </w:pPr>
      <w:r w:rsidRPr="00577074">
        <w:t>U članku 105. stavku 3. tekst: „energane“ zamjenjuje se tekstom: „elektrane“, a tekst: „komunalno neuređenih“ se briše.</w:t>
      </w:r>
    </w:p>
    <w:p w:rsidR="00A168FC" w:rsidRPr="00577074" w:rsidRDefault="00A168FC" w:rsidP="00A168FC">
      <w:pPr>
        <w:pStyle w:val="Normalstavci"/>
        <w:numPr>
          <w:ilvl w:val="0"/>
          <w:numId w:val="38"/>
        </w:numPr>
      </w:pPr>
      <w:r w:rsidRPr="00577074">
        <w:t>U članku 105. stavku 4. alineji 2. tekst: „samostojećim stupovima postavljenim“ zamjenjuje se tekstom: „nosačima“.</w:t>
      </w:r>
    </w:p>
    <w:p w:rsidR="00A168FC" w:rsidRPr="00577074" w:rsidRDefault="00A168FC" w:rsidP="00A168FC">
      <w:pPr>
        <w:pStyle w:val="Normalstavci"/>
        <w:numPr>
          <w:ilvl w:val="0"/>
          <w:numId w:val="38"/>
        </w:numPr>
      </w:pPr>
      <w:r w:rsidRPr="00577074">
        <w:t>U članku 105. stavku 4. iza alineje 2. dodaje se nova alineja 3. koja glasi:</w:t>
      </w:r>
    </w:p>
    <w:p w:rsidR="00A168FC" w:rsidRPr="00577074" w:rsidRDefault="00A168FC" w:rsidP="00A168FC">
      <w:pPr>
        <w:pStyle w:val="Normalstavci"/>
        <w:numPr>
          <w:ilvl w:val="0"/>
          <w:numId w:val="0"/>
        </w:numPr>
        <w:ind w:left="360" w:hanging="360"/>
      </w:pPr>
    </w:p>
    <w:p w:rsidR="00A168FC" w:rsidRPr="00577074" w:rsidRDefault="00A168FC" w:rsidP="00A168FC">
      <w:pPr>
        <w:pStyle w:val="Normalstavci"/>
        <w:numPr>
          <w:ilvl w:val="0"/>
          <w:numId w:val="0"/>
        </w:numPr>
        <w:ind w:left="360" w:hanging="360"/>
      </w:pPr>
      <w:r w:rsidRPr="00577074">
        <w:t>„ - na k.č.br. 7232/1 k.o. Zasadbreg na tipskim nosačima na tlu“</w:t>
      </w:r>
    </w:p>
    <w:p w:rsidR="00A168FC" w:rsidRPr="00577074" w:rsidRDefault="00A168FC" w:rsidP="00A168FC">
      <w:pPr>
        <w:pStyle w:val="Normalstavci"/>
        <w:numPr>
          <w:ilvl w:val="0"/>
          <w:numId w:val="0"/>
        </w:numPr>
        <w:ind w:left="360" w:hanging="360"/>
      </w:pPr>
    </w:p>
    <w:p w:rsidR="00A168FC" w:rsidRPr="00577074" w:rsidRDefault="00A168FC" w:rsidP="00A168FC">
      <w:pPr>
        <w:pStyle w:val="Normalstavci"/>
        <w:numPr>
          <w:ilvl w:val="0"/>
          <w:numId w:val="38"/>
        </w:numPr>
      </w:pPr>
      <w:r w:rsidRPr="00577074">
        <w:t>U članku 105. stavku 5. tekst: „Energana“ zamjenjuje se tekstom: „Elektrana“.</w:t>
      </w:r>
    </w:p>
    <w:p w:rsidR="00A168FC" w:rsidRPr="00577074" w:rsidRDefault="00A168FC" w:rsidP="00A168FC">
      <w:pPr>
        <w:pStyle w:val="Normalstavci"/>
        <w:numPr>
          <w:ilvl w:val="0"/>
          <w:numId w:val="38"/>
        </w:numPr>
      </w:pPr>
      <w:r w:rsidRPr="00577074">
        <w:t>U članku 105. iza stavka 7. dodaje se novi stavak 8. koji glasi:</w:t>
      </w:r>
    </w:p>
    <w:p w:rsidR="00A168FC" w:rsidRPr="00577074" w:rsidRDefault="00A168FC" w:rsidP="00A168FC">
      <w:pPr>
        <w:pStyle w:val="Normalstavci"/>
        <w:numPr>
          <w:ilvl w:val="0"/>
          <w:numId w:val="0"/>
        </w:numPr>
        <w:ind w:left="360" w:hanging="360"/>
      </w:pPr>
    </w:p>
    <w:p w:rsidR="00A168FC" w:rsidRPr="00577074" w:rsidRDefault="00A168FC" w:rsidP="00A168FC">
      <w:pPr>
        <w:ind w:firstLine="0"/>
        <w:rPr>
          <w:snapToGrid w:val="0"/>
          <w:lang w:eastAsia="en-US"/>
        </w:rPr>
      </w:pPr>
      <w:r w:rsidRPr="00577074">
        <w:rPr>
          <w:snapToGrid w:val="0"/>
          <w:lang w:eastAsia="en-US"/>
        </w:rPr>
        <w:t>„(8) Komercijalna sunčana elektrana koja je osnovna namjena na čestici:</w:t>
      </w:r>
    </w:p>
    <w:p w:rsidR="00A168FC" w:rsidRPr="00577074" w:rsidRDefault="00A168FC" w:rsidP="00A168FC">
      <w:pPr>
        <w:pStyle w:val="Normaluvueno"/>
        <w:tabs>
          <w:tab w:val="num" w:pos="360"/>
        </w:tabs>
      </w:pPr>
      <w:r w:rsidRPr="00577074">
        <w:t xml:space="preserve">najveća dozvoljena visina (vijenca) zgrada u funkciji elektrane (trafostanica, spremište strojeva i opreme, upravni prostori i slično) se utvrđuje s 4,0 m , a </w:t>
      </w:r>
      <w:proofErr w:type="spellStart"/>
      <w:r w:rsidRPr="00577074">
        <w:t>etažnost</w:t>
      </w:r>
      <w:proofErr w:type="spellEnd"/>
      <w:r w:rsidRPr="00577074">
        <w:t xml:space="preserve"> s E= 1/P/</w:t>
      </w:r>
    </w:p>
    <w:p w:rsidR="00A168FC" w:rsidRPr="00577074" w:rsidRDefault="00A168FC" w:rsidP="00A168FC">
      <w:pPr>
        <w:pStyle w:val="Normaluvueno"/>
        <w:tabs>
          <w:tab w:val="num" w:pos="360"/>
        </w:tabs>
      </w:pPr>
      <w:r w:rsidRPr="00577074">
        <w:t xml:space="preserve">koeficijent izgrađenosti čestice utvrđuje se na način da se površina </w:t>
      </w:r>
      <w:proofErr w:type="spellStart"/>
      <w:r w:rsidRPr="00577074">
        <w:t>fotonaponskih</w:t>
      </w:r>
      <w:proofErr w:type="spellEnd"/>
      <w:r w:rsidRPr="00577074">
        <w:t xml:space="preserve"> panela i drugih građevina zbraja , a najviše može iznositi </w:t>
      </w:r>
      <w:proofErr w:type="spellStart"/>
      <w:r w:rsidRPr="00577074">
        <w:t>kig</w:t>
      </w:r>
      <w:proofErr w:type="spellEnd"/>
      <w:r w:rsidRPr="00577074">
        <w:t>=0,6</w:t>
      </w:r>
    </w:p>
    <w:p w:rsidR="00A168FC" w:rsidRPr="00577074" w:rsidRDefault="00A168FC" w:rsidP="00A168FC">
      <w:pPr>
        <w:pStyle w:val="Normaluvueno"/>
        <w:tabs>
          <w:tab w:val="num" w:pos="360"/>
        </w:tabs>
      </w:pPr>
      <w:r w:rsidRPr="00577074">
        <w:t>koeficijent iskoristivosti čestice se ne ispituje.“</w:t>
      </w:r>
    </w:p>
    <w:p w:rsidR="00A168FC" w:rsidRPr="00577074" w:rsidRDefault="00A168FC" w:rsidP="00A168FC">
      <w:pPr>
        <w:pStyle w:val="Normalstavci"/>
        <w:numPr>
          <w:ilvl w:val="0"/>
          <w:numId w:val="0"/>
        </w:numPr>
        <w:ind w:left="360" w:hanging="360"/>
      </w:pPr>
    </w:p>
    <w:p w:rsidR="00A168FC" w:rsidRPr="00577074" w:rsidRDefault="00A168FC" w:rsidP="00A168FC">
      <w:pPr>
        <w:pStyle w:val="Normalstavci"/>
        <w:numPr>
          <w:ilvl w:val="0"/>
          <w:numId w:val="38"/>
        </w:numPr>
      </w:pPr>
      <w:r w:rsidRPr="00577074">
        <w:t>U članku 105. dosadašnji stavak 8. postaje stavak 9.</w:t>
      </w:r>
    </w:p>
    <w:p w:rsidR="00A168FC" w:rsidRPr="00577074" w:rsidRDefault="00A168FC" w:rsidP="00A168FC">
      <w:pPr>
        <w:pStyle w:val="Normalstavci"/>
        <w:numPr>
          <w:ilvl w:val="0"/>
          <w:numId w:val="38"/>
        </w:numPr>
      </w:pPr>
      <w:r w:rsidRPr="00577074">
        <w:t>U članku 105. u stavku 9. iza teksta: „OIE“ dodaje se tekst: „elektrana i“.</w:t>
      </w:r>
    </w:p>
    <w:p w:rsidR="00A168FC" w:rsidRPr="00577074" w:rsidRDefault="00A168FC" w:rsidP="00A168FC">
      <w:pPr>
        <w:pStyle w:val="lanak"/>
      </w:pPr>
      <w:r w:rsidRPr="00577074">
        <w:lastRenderedPageBreak/>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24"/>
        </w:numPr>
      </w:pPr>
      <w:r w:rsidRPr="00577074">
        <w:t>U članku 119. stavku 5. tekst: „provedbenim prostornim planom“ zamjenjuje se tekstom: „prostornim planom užega područja“.</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25"/>
        </w:numPr>
      </w:pPr>
      <w:r w:rsidRPr="00577074">
        <w:t>U članku 120. stavku 4. na tri mjesta se tekst: „provedbenog prostornog plana“ zamjenjuje tekstom: „prostornog plana užega područja“.</w:t>
      </w:r>
    </w:p>
    <w:p w:rsidR="00A168FC" w:rsidRPr="00577074" w:rsidRDefault="00A168FC" w:rsidP="00A168FC">
      <w:pPr>
        <w:pStyle w:val="Normalstavci"/>
        <w:numPr>
          <w:ilvl w:val="0"/>
          <w:numId w:val="25"/>
        </w:numPr>
      </w:pPr>
      <w:r w:rsidRPr="00577074">
        <w:t>U članku 120. stavku 5. tekst: „provedbenog prostornog plana“ zamjenjuje se tekstom: „prostornog plana užega područja“, a tekst: „provedbenim prostornim planom“ zamjenjuje tekstom: „prostornim planom užega područja“.</w:t>
      </w:r>
    </w:p>
    <w:p w:rsidR="00A168FC" w:rsidRPr="00577074" w:rsidRDefault="00A168FC" w:rsidP="00A168FC">
      <w:pPr>
        <w:pStyle w:val="Normalstavci"/>
        <w:numPr>
          <w:ilvl w:val="0"/>
          <w:numId w:val="25"/>
        </w:numPr>
      </w:pPr>
      <w:r w:rsidRPr="00577074">
        <w:t>U članku 120. stavku 6. ste tekst: „provedbenim prostornim planom“ zamjenjuje tekstom: „prostornim planom užega područja“.</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26"/>
        </w:numPr>
      </w:pPr>
      <w:r w:rsidRPr="00577074">
        <w:t>U članku 121. stavku 1. iza teksta: „92/14“ dodaje se zarez i tekst: „110/19, 144/21, 114/22, 114/22“.</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27"/>
        </w:numPr>
      </w:pPr>
      <w:r w:rsidRPr="00577074">
        <w:t>U članku 122. stavku 4. iza teksta: „92/14“ dodaje se zarez i tekst: „110/19, 144/21, 114/22, 114/22“.</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28"/>
        </w:numPr>
      </w:pPr>
      <w:r w:rsidRPr="00577074">
        <w:t>U članku 141. stavku 1. tekst: „73/08, 90/11, 133/12, 80/13, 71/14, 72/17“ zamjenjuje tekstom: „76/22“.</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13"/>
        </w:numPr>
      </w:pPr>
      <w:r w:rsidRPr="00577074">
        <w:t>U članku 161. stavku 2. tekst: „80/13, 43/14, 27/15, 3/16“ zamjenjuje se tekstom: „26/20“.</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67"/>
        </w:numPr>
      </w:pPr>
      <w:r w:rsidRPr="00577074">
        <w:t>U članku 174. stavku 1. iza teksta: „14/19“ dodaje se zarez i tekst: „127/19“.</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68"/>
        </w:numPr>
      </w:pPr>
      <w:r w:rsidRPr="00577074">
        <w:t>U članku 175. stavku 1. iza teksta: „14/19“ dodaje se zarez i tekst: „127/19“.</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29"/>
        </w:numPr>
      </w:pPr>
      <w:r w:rsidRPr="00577074">
        <w:t>U članku 177. stavku 1. tekst: „Uredbi o ekološkoj mreži („Narodne novine“ broj 124/13, 105/15)“ zamjenjuje se tekstom: „Uredbi o ekološkoj mreži i nadležnostima javnih ustanova za upravljanje područjima ekološke mreže (Narodne novine br. 80/19)“.</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30"/>
        </w:numPr>
      </w:pPr>
      <w:r w:rsidRPr="00577074">
        <w:t>U članku 180. stavku 1. iza teksta „90/18“ dodaje se zarez i tekst: „32/20, 62/20, 117/21, 114/22“.</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31"/>
        </w:numPr>
      </w:pPr>
      <w:r w:rsidRPr="00577074">
        <w:t>U članku 186. stavak 1. mijenja se i glasi:</w:t>
      </w:r>
    </w:p>
    <w:p w:rsidR="00A168FC" w:rsidRPr="00BD3B30" w:rsidRDefault="00A168FC" w:rsidP="00A168FC">
      <w:pPr>
        <w:pStyle w:val="Normalstavci"/>
        <w:numPr>
          <w:ilvl w:val="0"/>
          <w:numId w:val="0"/>
        </w:numPr>
        <w:ind w:left="360" w:hanging="360"/>
      </w:pPr>
    </w:p>
    <w:p w:rsidR="00A168FC" w:rsidRPr="00BD3B30" w:rsidRDefault="00A168FC" w:rsidP="00A168FC">
      <w:pPr>
        <w:ind w:firstLine="0"/>
        <w:rPr>
          <w:snapToGrid w:val="0"/>
          <w:lang w:eastAsia="en-US"/>
        </w:rPr>
      </w:pPr>
      <w:r w:rsidRPr="00BD3B30">
        <w:rPr>
          <w:snapToGrid w:val="0"/>
          <w:lang w:eastAsia="en-US"/>
        </w:rPr>
        <w:t xml:space="preserve">„(1) Gospodarenje otpadom potrebno je provoditi primjenom Zakona o gospodarenju otpadom („Narodne novine“ broj 84/21), odgovarajućih </w:t>
      </w:r>
      <w:proofErr w:type="spellStart"/>
      <w:r w:rsidRPr="00BD3B30">
        <w:rPr>
          <w:snapToGrid w:val="0"/>
          <w:lang w:eastAsia="en-US"/>
        </w:rPr>
        <w:t>podzakonskih</w:t>
      </w:r>
      <w:proofErr w:type="spellEnd"/>
      <w:r w:rsidRPr="00BD3B30">
        <w:rPr>
          <w:snapToGrid w:val="0"/>
          <w:lang w:eastAsia="en-US"/>
        </w:rPr>
        <w:t xml:space="preserve"> propisa i Plana gospodarenja otpadom Općine.“</w:t>
      </w:r>
    </w:p>
    <w:p w:rsidR="00A168FC" w:rsidRPr="00BD3B30" w:rsidRDefault="00A168FC" w:rsidP="00A168FC">
      <w:pPr>
        <w:ind w:firstLine="0"/>
        <w:rPr>
          <w:snapToGrid w:val="0"/>
          <w:lang w:eastAsia="en-US"/>
        </w:rPr>
      </w:pPr>
    </w:p>
    <w:p w:rsidR="00A168FC" w:rsidRPr="00577074" w:rsidRDefault="00A168FC" w:rsidP="00A168FC">
      <w:pPr>
        <w:pStyle w:val="Normalstavci"/>
        <w:numPr>
          <w:ilvl w:val="0"/>
          <w:numId w:val="31"/>
        </w:numPr>
      </w:pPr>
      <w:r w:rsidRPr="00BD3B30">
        <w:lastRenderedPageBreak/>
        <w:t>U čl</w:t>
      </w:r>
      <w:r w:rsidRPr="00577074">
        <w:t>anku 186. stavku 4. tekst: „održivom“ se briše.</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32"/>
        </w:numPr>
      </w:pPr>
      <w:r w:rsidRPr="00577074">
        <w:t>U članku 188. stavku 1. tekst: „gospodarske, poslovne zone u Lopatincu formirane na kat.čest.br. 6031 i 6032 k.o. Lopatinec“ zamjenjuje se tekstom: „Gospodarske zone u Brezju“.</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61"/>
        </w:numPr>
      </w:pPr>
      <w:r w:rsidRPr="00577074">
        <w:t>U članku 190. stavku 1. tekst: „prema članku 83. stavku 5. Zakona o održivom gospodarenju otpadom“ se briše.</w:t>
      </w:r>
    </w:p>
    <w:p w:rsidR="00A168FC" w:rsidRPr="00577074" w:rsidRDefault="00A168FC" w:rsidP="00A168FC">
      <w:pPr>
        <w:pStyle w:val="Normalstavci"/>
        <w:numPr>
          <w:ilvl w:val="0"/>
          <w:numId w:val="61"/>
        </w:numPr>
      </w:pPr>
      <w:r w:rsidRPr="00577074">
        <w:t>U članku 190. iza stavka 2. dodaje se novi stavak 3. koji glasi:</w:t>
      </w:r>
    </w:p>
    <w:p w:rsidR="00A168FC" w:rsidRPr="00577074" w:rsidRDefault="00A168FC" w:rsidP="00A168FC">
      <w:pPr>
        <w:pStyle w:val="Normalstavci"/>
        <w:numPr>
          <w:ilvl w:val="0"/>
          <w:numId w:val="0"/>
        </w:numPr>
        <w:ind w:left="360" w:hanging="360"/>
      </w:pPr>
    </w:p>
    <w:p w:rsidR="00A168FC" w:rsidRPr="00577074" w:rsidRDefault="00A168FC" w:rsidP="00A168FC">
      <w:pPr>
        <w:ind w:firstLine="0"/>
        <w:rPr>
          <w:snapToGrid w:val="0"/>
          <w:lang w:eastAsia="en-US"/>
        </w:rPr>
      </w:pPr>
      <w:r w:rsidRPr="00577074">
        <w:rPr>
          <w:snapToGrid w:val="0"/>
          <w:lang w:eastAsia="en-US"/>
        </w:rPr>
        <w:t xml:space="preserve">„(3) Na građevnim česticama gospodarske namjene smještenim u drugim funkcionalnim zonama, kao ni na građevnim česticama koje nemaju gospodarsku namjenu bez obzira unutar koje funkcionalne zone se nalaze, komercijalna djelatnost gospodarenja otpadom nije dozvoljena, odnosno izvan površina gospodarske, proizvodne zone u Brezju nije dozvoljeno smještati komercijalna </w:t>
      </w:r>
      <w:proofErr w:type="spellStart"/>
      <w:r w:rsidRPr="00577074">
        <w:rPr>
          <w:snapToGrid w:val="0"/>
          <w:lang w:eastAsia="en-US"/>
        </w:rPr>
        <w:t>reciklažna</w:t>
      </w:r>
      <w:proofErr w:type="spellEnd"/>
      <w:r w:rsidRPr="00577074">
        <w:rPr>
          <w:snapToGrid w:val="0"/>
          <w:lang w:eastAsia="en-US"/>
        </w:rPr>
        <w:t xml:space="preserve"> dvorišta, kao niti komercijalne građevine za skupljanje, selektiranje, obradu i </w:t>
      </w:r>
      <w:proofErr w:type="spellStart"/>
      <w:r w:rsidRPr="00577074">
        <w:rPr>
          <w:snapToGrid w:val="0"/>
          <w:lang w:eastAsia="en-US"/>
        </w:rPr>
        <w:t>oporabu</w:t>
      </w:r>
      <w:proofErr w:type="spellEnd"/>
      <w:r w:rsidRPr="00577074">
        <w:rPr>
          <w:snapToGrid w:val="0"/>
          <w:lang w:eastAsia="en-US"/>
        </w:rPr>
        <w:t xml:space="preserve"> otpada.</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33"/>
        </w:numPr>
      </w:pPr>
      <w:r w:rsidRPr="00577074">
        <w:t>U članku 192. stavku 2. tekst: „održivom“ se briše.</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36"/>
        </w:numPr>
      </w:pPr>
      <w:r w:rsidRPr="00577074">
        <w:t>U članku 193. tekst: „načela održivog“ zamjenjuje se tekstom: „posebnim propisom utvrđenih mjera“</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34"/>
        </w:numPr>
      </w:pPr>
      <w:r w:rsidRPr="00577074">
        <w:t>U članku 194. stavku 2. tekst: „80/13, 43/14, 27/15, 3/16“ zamjenjuje se tekstom: „26/20“.</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35"/>
        </w:numPr>
      </w:pPr>
      <w:r w:rsidRPr="00577074">
        <w:t>U članku 195. stavku 1. tekst: „130/11, 47/14, 61/17, 118/18“ zamjenjuje se tekstom: „127/19, 57/22“.</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46"/>
        </w:numPr>
      </w:pPr>
      <w:r w:rsidRPr="00577074">
        <w:t>Članak 196. mijenja se i glasi:</w:t>
      </w:r>
    </w:p>
    <w:p w:rsidR="00A168FC" w:rsidRPr="00577074" w:rsidRDefault="00A168FC" w:rsidP="00A168FC">
      <w:pPr>
        <w:overflowPunct/>
        <w:autoSpaceDE/>
        <w:autoSpaceDN/>
        <w:adjustRightInd/>
        <w:ind w:firstLine="0"/>
        <w:jc w:val="left"/>
        <w:textAlignment w:val="auto"/>
      </w:pPr>
    </w:p>
    <w:p w:rsidR="00A168FC" w:rsidRPr="00577074" w:rsidRDefault="00A168FC" w:rsidP="00A168FC">
      <w:pPr>
        <w:spacing w:after="60"/>
        <w:ind w:firstLine="0"/>
        <w:rPr>
          <w:szCs w:val="20"/>
        </w:rPr>
      </w:pPr>
      <w:r w:rsidRPr="00577074">
        <w:rPr>
          <w:szCs w:val="20"/>
        </w:rPr>
        <w:t xml:space="preserve">„(1) Mjere zaštite od buke provode se prema Zakonu o zaštiti od buke („Narodne novine“ broj 30/09, 55/13, 153/13, 41/16, 114/18, 14/21) i primjenom odgovarajućih </w:t>
      </w:r>
      <w:proofErr w:type="spellStart"/>
      <w:r w:rsidRPr="00577074">
        <w:rPr>
          <w:szCs w:val="20"/>
        </w:rPr>
        <w:t>podzakonskih</w:t>
      </w:r>
      <w:proofErr w:type="spellEnd"/>
      <w:r w:rsidRPr="00577074">
        <w:rPr>
          <w:szCs w:val="20"/>
        </w:rPr>
        <w:t xml:space="preserve"> propisa.</w:t>
      </w:r>
    </w:p>
    <w:p w:rsidR="00A168FC" w:rsidRPr="00577074" w:rsidRDefault="00A168FC" w:rsidP="00A168FC">
      <w:pPr>
        <w:spacing w:after="60"/>
        <w:ind w:firstLine="0"/>
        <w:rPr>
          <w:szCs w:val="20"/>
        </w:rPr>
      </w:pPr>
      <w:r w:rsidRPr="00577074">
        <w:rPr>
          <w:szCs w:val="20"/>
        </w:rPr>
        <w:t xml:space="preserve">(2) Najveća dopuštena </w:t>
      </w:r>
      <w:proofErr w:type="spellStart"/>
      <w:r w:rsidRPr="00577074">
        <w:rPr>
          <w:szCs w:val="20"/>
        </w:rPr>
        <w:t>ocjenska</w:t>
      </w:r>
      <w:proofErr w:type="spellEnd"/>
      <w:r w:rsidRPr="00577074">
        <w:rPr>
          <w:szCs w:val="20"/>
        </w:rPr>
        <w:t xml:space="preserve"> razina buke u unutarnjim prostorima utvrđuje se ovisno o namjeni pojedine građevine, a treba se primjenom tehničkih mjera ograničiti na dozvoljenu, s obzirom na vrstu izvora buke, vrijeme i mjesto nastanka.</w:t>
      </w:r>
    </w:p>
    <w:p w:rsidR="00A168FC" w:rsidRPr="00577074" w:rsidRDefault="00A168FC" w:rsidP="00A168FC">
      <w:pPr>
        <w:spacing w:after="60"/>
        <w:ind w:firstLine="0"/>
        <w:rPr>
          <w:szCs w:val="20"/>
        </w:rPr>
      </w:pPr>
      <w:r w:rsidRPr="00577074">
        <w:rPr>
          <w:szCs w:val="20"/>
        </w:rPr>
        <w:t xml:space="preserve">(3) Najveće dopuštene </w:t>
      </w:r>
      <w:proofErr w:type="spellStart"/>
      <w:r w:rsidRPr="00577074">
        <w:rPr>
          <w:szCs w:val="20"/>
        </w:rPr>
        <w:t>ocjenske</w:t>
      </w:r>
      <w:proofErr w:type="spellEnd"/>
      <w:r w:rsidRPr="00577074">
        <w:rPr>
          <w:szCs w:val="20"/>
        </w:rPr>
        <w:t xml:space="preserve"> razine buke u vanjskom prostoru utvrđuju se prema Pravilniku o najvišim dopuštenim razinama buke s obzirom na vrstu izvora buke, vrijeme i mjesto nastanka („Narodne novine“ broj 143/21), te ovisno o funkcionalnoj zoni građevinskog područja, prema sljedećoj tabeli:</w:t>
      </w:r>
    </w:p>
    <w:p w:rsidR="00A168FC" w:rsidRPr="00577074" w:rsidRDefault="00A168FC" w:rsidP="00A168FC">
      <w:pPr>
        <w:tabs>
          <w:tab w:val="left" w:pos="851"/>
        </w:tabs>
        <w:overflowPunct/>
        <w:autoSpaceDE/>
        <w:autoSpaceDN/>
        <w:adjustRightInd/>
        <w:ind w:left="284" w:hanging="284"/>
        <w:textAlignment w:val="auto"/>
        <w:outlineLvl w:val="0"/>
        <w:rPr>
          <w:szCs w:val="20"/>
        </w:rPr>
      </w:pPr>
    </w:p>
    <w:tbl>
      <w:tblPr>
        <w:tblStyle w:val="Reetkatablice4"/>
        <w:tblW w:w="8075" w:type="dxa"/>
        <w:tblInd w:w="284" w:type="dxa"/>
        <w:tblLayout w:type="fixed"/>
        <w:tblLook w:val="04A0" w:firstRow="1" w:lastRow="0" w:firstColumn="1" w:lastColumn="0" w:noHBand="0" w:noVBand="1"/>
      </w:tblPr>
      <w:tblGrid>
        <w:gridCol w:w="1271"/>
        <w:gridCol w:w="2126"/>
        <w:gridCol w:w="1169"/>
        <w:gridCol w:w="1170"/>
        <w:gridCol w:w="1169"/>
        <w:gridCol w:w="1170"/>
      </w:tblGrid>
      <w:tr w:rsidR="00A168FC" w:rsidRPr="00577074" w:rsidTr="0074782E">
        <w:tc>
          <w:tcPr>
            <w:tcW w:w="1271" w:type="dxa"/>
            <w:vMerge w:val="restart"/>
            <w:vAlign w:val="center"/>
          </w:tcPr>
          <w:p w:rsidR="00A168FC" w:rsidRPr="00577074" w:rsidRDefault="00A168FC" w:rsidP="0074782E">
            <w:pPr>
              <w:overflowPunct/>
              <w:autoSpaceDE/>
              <w:autoSpaceDN/>
              <w:adjustRightInd/>
              <w:ind w:firstLine="0"/>
              <w:jc w:val="center"/>
              <w:textAlignment w:val="auto"/>
              <w:rPr>
                <w:snapToGrid w:val="0"/>
                <w:szCs w:val="20"/>
              </w:rPr>
            </w:pPr>
            <w:r w:rsidRPr="00577074">
              <w:rPr>
                <w:snapToGrid w:val="0"/>
                <w:szCs w:val="20"/>
              </w:rPr>
              <w:t>ZONA BUKE</w:t>
            </w:r>
          </w:p>
        </w:tc>
        <w:tc>
          <w:tcPr>
            <w:tcW w:w="2126" w:type="dxa"/>
            <w:vMerge w:val="restart"/>
            <w:vAlign w:val="center"/>
          </w:tcPr>
          <w:p w:rsidR="00A168FC" w:rsidRPr="00577074" w:rsidRDefault="00A168FC" w:rsidP="0074782E">
            <w:pPr>
              <w:overflowPunct/>
              <w:autoSpaceDE/>
              <w:autoSpaceDN/>
              <w:adjustRightInd/>
              <w:ind w:firstLine="0"/>
              <w:jc w:val="center"/>
              <w:textAlignment w:val="auto"/>
              <w:rPr>
                <w:snapToGrid w:val="0"/>
                <w:szCs w:val="20"/>
              </w:rPr>
            </w:pPr>
            <w:r w:rsidRPr="00577074">
              <w:rPr>
                <w:snapToGrid w:val="0"/>
                <w:szCs w:val="20"/>
              </w:rPr>
              <w:t>FUNKCIONALNA ZONA UNUTAR GRAĐEVINSKIH PODRUČJA</w:t>
            </w:r>
          </w:p>
        </w:tc>
        <w:tc>
          <w:tcPr>
            <w:tcW w:w="4678" w:type="dxa"/>
            <w:gridSpan w:val="4"/>
            <w:vAlign w:val="center"/>
          </w:tcPr>
          <w:p w:rsidR="00A168FC" w:rsidRPr="00577074" w:rsidRDefault="00A168FC" w:rsidP="0074782E">
            <w:pPr>
              <w:overflowPunct/>
              <w:autoSpaceDE/>
              <w:autoSpaceDN/>
              <w:adjustRightInd/>
              <w:ind w:firstLine="0"/>
              <w:jc w:val="center"/>
              <w:textAlignment w:val="auto"/>
              <w:rPr>
                <w:snapToGrid w:val="0"/>
                <w:szCs w:val="20"/>
              </w:rPr>
            </w:pPr>
            <w:r w:rsidRPr="00577074">
              <w:rPr>
                <w:snapToGrid w:val="0"/>
                <w:szCs w:val="20"/>
              </w:rPr>
              <w:t xml:space="preserve">Najviše dopuštene </w:t>
            </w:r>
            <w:proofErr w:type="spellStart"/>
            <w:r w:rsidRPr="00577074">
              <w:rPr>
                <w:snapToGrid w:val="0"/>
                <w:szCs w:val="20"/>
              </w:rPr>
              <w:t>ocjenske</w:t>
            </w:r>
            <w:proofErr w:type="spellEnd"/>
            <w:r w:rsidRPr="00577074">
              <w:rPr>
                <w:snapToGrid w:val="0"/>
                <w:szCs w:val="20"/>
              </w:rPr>
              <w:t xml:space="preserve"> razine buke u vanjskom prostoru /L</w:t>
            </w:r>
            <w:r w:rsidRPr="00577074">
              <w:rPr>
                <w:snapToGrid w:val="0"/>
                <w:szCs w:val="20"/>
                <w:vertAlign w:val="subscript"/>
              </w:rPr>
              <w:t>R,</w:t>
            </w:r>
            <w:proofErr w:type="spellStart"/>
            <w:r w:rsidRPr="00577074">
              <w:rPr>
                <w:snapToGrid w:val="0"/>
                <w:szCs w:val="20"/>
                <w:vertAlign w:val="subscript"/>
              </w:rPr>
              <w:t>Aeg</w:t>
            </w:r>
            <w:proofErr w:type="spellEnd"/>
            <w:r w:rsidRPr="00577074">
              <w:rPr>
                <w:snapToGrid w:val="0"/>
                <w:szCs w:val="20"/>
                <w:vertAlign w:val="subscript"/>
              </w:rPr>
              <w:t xml:space="preserve"> </w:t>
            </w:r>
            <w:r w:rsidRPr="00577074">
              <w:rPr>
                <w:snapToGrid w:val="0"/>
                <w:szCs w:val="20"/>
              </w:rPr>
              <w:t>/ dB(A)</w:t>
            </w:r>
          </w:p>
        </w:tc>
      </w:tr>
      <w:tr w:rsidR="00A168FC" w:rsidRPr="00577074" w:rsidTr="0074782E">
        <w:tc>
          <w:tcPr>
            <w:tcW w:w="1271" w:type="dxa"/>
            <w:vMerge/>
          </w:tcPr>
          <w:p w:rsidR="00A168FC" w:rsidRPr="00577074" w:rsidRDefault="00A168FC" w:rsidP="0074782E">
            <w:pPr>
              <w:widowControl w:val="0"/>
              <w:overflowPunct/>
              <w:autoSpaceDE/>
              <w:autoSpaceDN/>
              <w:adjustRightInd/>
              <w:ind w:firstLine="0"/>
              <w:textAlignment w:val="auto"/>
              <w:rPr>
                <w:snapToGrid w:val="0"/>
                <w:szCs w:val="20"/>
              </w:rPr>
            </w:pPr>
          </w:p>
        </w:tc>
        <w:tc>
          <w:tcPr>
            <w:tcW w:w="2126" w:type="dxa"/>
            <w:vMerge/>
          </w:tcPr>
          <w:p w:rsidR="00A168FC" w:rsidRPr="00577074" w:rsidRDefault="00A168FC" w:rsidP="0074782E">
            <w:pPr>
              <w:widowControl w:val="0"/>
              <w:overflowPunct/>
              <w:autoSpaceDE/>
              <w:autoSpaceDN/>
              <w:adjustRightInd/>
              <w:ind w:firstLine="0"/>
              <w:textAlignment w:val="auto"/>
              <w:rPr>
                <w:snapToGrid w:val="0"/>
                <w:szCs w:val="20"/>
              </w:rPr>
            </w:pPr>
          </w:p>
        </w:tc>
        <w:tc>
          <w:tcPr>
            <w:tcW w:w="1169" w:type="dxa"/>
            <w:vAlign w:val="center"/>
          </w:tcPr>
          <w:p w:rsidR="00A168FC" w:rsidRPr="00577074" w:rsidRDefault="00A168FC" w:rsidP="0074782E">
            <w:pPr>
              <w:overflowPunct/>
              <w:autoSpaceDE/>
              <w:autoSpaceDN/>
              <w:adjustRightInd/>
              <w:ind w:firstLine="0"/>
              <w:jc w:val="center"/>
              <w:textAlignment w:val="auto"/>
              <w:rPr>
                <w:snapToGrid w:val="0"/>
                <w:szCs w:val="20"/>
              </w:rPr>
            </w:pPr>
            <w:proofErr w:type="spellStart"/>
            <w:r w:rsidRPr="00577074">
              <w:rPr>
                <w:snapToGrid w:val="0"/>
                <w:szCs w:val="20"/>
              </w:rPr>
              <w:t>L</w:t>
            </w:r>
            <w:r w:rsidRPr="00577074">
              <w:rPr>
                <w:snapToGrid w:val="0"/>
                <w:szCs w:val="20"/>
                <w:vertAlign w:val="subscript"/>
              </w:rPr>
              <w:t>day</w:t>
            </w:r>
            <w:proofErr w:type="spellEnd"/>
          </w:p>
        </w:tc>
        <w:tc>
          <w:tcPr>
            <w:tcW w:w="1170" w:type="dxa"/>
            <w:vAlign w:val="center"/>
          </w:tcPr>
          <w:p w:rsidR="00A168FC" w:rsidRPr="00577074" w:rsidRDefault="00A168FC" w:rsidP="0074782E">
            <w:pPr>
              <w:overflowPunct/>
              <w:autoSpaceDE/>
              <w:autoSpaceDN/>
              <w:adjustRightInd/>
              <w:ind w:firstLine="0"/>
              <w:jc w:val="center"/>
              <w:textAlignment w:val="auto"/>
              <w:rPr>
                <w:snapToGrid w:val="0"/>
                <w:szCs w:val="20"/>
              </w:rPr>
            </w:pPr>
            <w:proofErr w:type="spellStart"/>
            <w:r w:rsidRPr="00577074">
              <w:rPr>
                <w:snapToGrid w:val="0"/>
                <w:szCs w:val="20"/>
              </w:rPr>
              <w:t>L</w:t>
            </w:r>
            <w:r w:rsidRPr="00577074">
              <w:rPr>
                <w:snapToGrid w:val="0"/>
                <w:szCs w:val="20"/>
                <w:vertAlign w:val="subscript"/>
              </w:rPr>
              <w:t>evening</w:t>
            </w:r>
            <w:proofErr w:type="spellEnd"/>
          </w:p>
        </w:tc>
        <w:tc>
          <w:tcPr>
            <w:tcW w:w="1169" w:type="dxa"/>
            <w:vAlign w:val="center"/>
          </w:tcPr>
          <w:p w:rsidR="00A168FC" w:rsidRPr="00577074" w:rsidRDefault="00A168FC" w:rsidP="0074782E">
            <w:pPr>
              <w:overflowPunct/>
              <w:autoSpaceDE/>
              <w:autoSpaceDN/>
              <w:adjustRightInd/>
              <w:ind w:firstLine="0"/>
              <w:jc w:val="center"/>
              <w:textAlignment w:val="auto"/>
              <w:rPr>
                <w:snapToGrid w:val="0"/>
                <w:szCs w:val="20"/>
              </w:rPr>
            </w:pPr>
            <w:proofErr w:type="spellStart"/>
            <w:r w:rsidRPr="00577074">
              <w:rPr>
                <w:snapToGrid w:val="0"/>
                <w:szCs w:val="20"/>
              </w:rPr>
              <w:t>L</w:t>
            </w:r>
            <w:r w:rsidRPr="00577074">
              <w:rPr>
                <w:snapToGrid w:val="0"/>
                <w:szCs w:val="20"/>
                <w:vertAlign w:val="subscript"/>
              </w:rPr>
              <w:t>night</w:t>
            </w:r>
            <w:proofErr w:type="spellEnd"/>
          </w:p>
        </w:tc>
        <w:tc>
          <w:tcPr>
            <w:tcW w:w="1170" w:type="dxa"/>
            <w:vAlign w:val="center"/>
          </w:tcPr>
          <w:p w:rsidR="00A168FC" w:rsidRPr="00577074" w:rsidRDefault="00A168FC" w:rsidP="0074782E">
            <w:pPr>
              <w:overflowPunct/>
              <w:autoSpaceDE/>
              <w:autoSpaceDN/>
              <w:adjustRightInd/>
              <w:ind w:firstLine="0"/>
              <w:jc w:val="center"/>
              <w:textAlignment w:val="auto"/>
              <w:rPr>
                <w:snapToGrid w:val="0"/>
                <w:szCs w:val="20"/>
              </w:rPr>
            </w:pPr>
            <w:proofErr w:type="spellStart"/>
            <w:r w:rsidRPr="00577074">
              <w:rPr>
                <w:snapToGrid w:val="0"/>
                <w:szCs w:val="20"/>
              </w:rPr>
              <w:t>L</w:t>
            </w:r>
            <w:r w:rsidRPr="00577074">
              <w:rPr>
                <w:snapToGrid w:val="0"/>
                <w:szCs w:val="20"/>
                <w:vertAlign w:val="subscript"/>
              </w:rPr>
              <w:t>den</w:t>
            </w:r>
            <w:proofErr w:type="spellEnd"/>
          </w:p>
        </w:tc>
      </w:tr>
      <w:tr w:rsidR="00A168FC" w:rsidRPr="00577074" w:rsidTr="0074782E">
        <w:trPr>
          <w:trHeight w:val="230"/>
        </w:trPr>
        <w:tc>
          <w:tcPr>
            <w:tcW w:w="1271" w:type="dxa"/>
            <w:vAlign w:val="center"/>
          </w:tcPr>
          <w:p w:rsidR="00A168FC" w:rsidRPr="00577074" w:rsidRDefault="00A168FC" w:rsidP="0074782E">
            <w:pPr>
              <w:widowControl w:val="0"/>
              <w:overflowPunct/>
              <w:autoSpaceDE/>
              <w:autoSpaceDN/>
              <w:adjustRightInd/>
              <w:ind w:firstLine="0"/>
              <w:jc w:val="center"/>
              <w:textAlignment w:val="auto"/>
              <w:rPr>
                <w:snapToGrid w:val="0"/>
                <w:szCs w:val="20"/>
              </w:rPr>
            </w:pPr>
            <w:r w:rsidRPr="00577074">
              <w:rPr>
                <w:snapToGrid w:val="0"/>
                <w:szCs w:val="20"/>
              </w:rPr>
              <w:lastRenderedPageBreak/>
              <w:t>3</w:t>
            </w:r>
          </w:p>
        </w:tc>
        <w:tc>
          <w:tcPr>
            <w:tcW w:w="2126" w:type="dxa"/>
            <w:vAlign w:val="center"/>
          </w:tcPr>
          <w:p w:rsidR="00A168FC" w:rsidRPr="00577074" w:rsidRDefault="00A168FC" w:rsidP="0074782E">
            <w:pPr>
              <w:widowControl w:val="0"/>
              <w:overflowPunct/>
              <w:autoSpaceDE/>
              <w:autoSpaceDN/>
              <w:adjustRightInd/>
              <w:ind w:firstLine="0"/>
              <w:jc w:val="center"/>
              <w:textAlignment w:val="auto"/>
              <w:rPr>
                <w:snapToGrid w:val="0"/>
                <w:szCs w:val="20"/>
              </w:rPr>
            </w:pPr>
            <w:r w:rsidRPr="00577074">
              <w:rPr>
                <w:snapToGrid w:val="0"/>
                <w:szCs w:val="20"/>
                <w:lang w:eastAsia="en-US"/>
              </w:rPr>
              <w:t>M1, Z</w:t>
            </w:r>
          </w:p>
        </w:tc>
        <w:tc>
          <w:tcPr>
            <w:tcW w:w="1169" w:type="dxa"/>
            <w:vAlign w:val="center"/>
          </w:tcPr>
          <w:p w:rsidR="00A168FC" w:rsidRPr="00577074" w:rsidRDefault="00A168FC" w:rsidP="0074782E">
            <w:pPr>
              <w:widowControl w:val="0"/>
              <w:overflowPunct/>
              <w:autoSpaceDE/>
              <w:autoSpaceDN/>
              <w:adjustRightInd/>
              <w:ind w:firstLine="0"/>
              <w:jc w:val="center"/>
              <w:textAlignment w:val="auto"/>
              <w:rPr>
                <w:snapToGrid w:val="0"/>
                <w:szCs w:val="20"/>
              </w:rPr>
            </w:pPr>
            <w:r w:rsidRPr="00577074">
              <w:rPr>
                <w:snapToGrid w:val="0"/>
                <w:szCs w:val="20"/>
              </w:rPr>
              <w:t>55</w:t>
            </w:r>
          </w:p>
        </w:tc>
        <w:tc>
          <w:tcPr>
            <w:tcW w:w="1170" w:type="dxa"/>
            <w:vAlign w:val="center"/>
          </w:tcPr>
          <w:p w:rsidR="00A168FC" w:rsidRPr="00577074" w:rsidRDefault="00A168FC" w:rsidP="0074782E">
            <w:pPr>
              <w:widowControl w:val="0"/>
              <w:overflowPunct/>
              <w:autoSpaceDE/>
              <w:autoSpaceDN/>
              <w:adjustRightInd/>
              <w:ind w:firstLine="0"/>
              <w:jc w:val="center"/>
              <w:textAlignment w:val="auto"/>
              <w:rPr>
                <w:snapToGrid w:val="0"/>
                <w:szCs w:val="20"/>
              </w:rPr>
            </w:pPr>
            <w:r w:rsidRPr="00577074">
              <w:rPr>
                <w:snapToGrid w:val="0"/>
                <w:szCs w:val="20"/>
              </w:rPr>
              <w:t>55</w:t>
            </w:r>
          </w:p>
        </w:tc>
        <w:tc>
          <w:tcPr>
            <w:tcW w:w="1169" w:type="dxa"/>
            <w:vAlign w:val="center"/>
          </w:tcPr>
          <w:p w:rsidR="00A168FC" w:rsidRPr="00577074" w:rsidRDefault="00A168FC" w:rsidP="0074782E">
            <w:pPr>
              <w:widowControl w:val="0"/>
              <w:overflowPunct/>
              <w:autoSpaceDE/>
              <w:autoSpaceDN/>
              <w:adjustRightInd/>
              <w:ind w:firstLine="0"/>
              <w:jc w:val="center"/>
              <w:textAlignment w:val="auto"/>
              <w:rPr>
                <w:snapToGrid w:val="0"/>
                <w:szCs w:val="20"/>
              </w:rPr>
            </w:pPr>
            <w:r w:rsidRPr="00577074">
              <w:rPr>
                <w:snapToGrid w:val="0"/>
                <w:szCs w:val="20"/>
              </w:rPr>
              <w:t>45</w:t>
            </w:r>
          </w:p>
        </w:tc>
        <w:tc>
          <w:tcPr>
            <w:tcW w:w="1170" w:type="dxa"/>
            <w:vAlign w:val="center"/>
          </w:tcPr>
          <w:p w:rsidR="00A168FC" w:rsidRPr="00577074" w:rsidRDefault="00A168FC" w:rsidP="0074782E">
            <w:pPr>
              <w:widowControl w:val="0"/>
              <w:overflowPunct/>
              <w:autoSpaceDE/>
              <w:autoSpaceDN/>
              <w:adjustRightInd/>
              <w:ind w:firstLine="0"/>
              <w:jc w:val="center"/>
              <w:textAlignment w:val="auto"/>
              <w:rPr>
                <w:snapToGrid w:val="0"/>
                <w:szCs w:val="20"/>
              </w:rPr>
            </w:pPr>
            <w:r w:rsidRPr="00577074">
              <w:rPr>
                <w:snapToGrid w:val="0"/>
                <w:szCs w:val="20"/>
              </w:rPr>
              <w:t>57</w:t>
            </w:r>
          </w:p>
        </w:tc>
      </w:tr>
      <w:tr w:rsidR="00A168FC" w:rsidRPr="00577074" w:rsidTr="0074782E">
        <w:trPr>
          <w:trHeight w:val="230"/>
        </w:trPr>
        <w:tc>
          <w:tcPr>
            <w:tcW w:w="1271" w:type="dxa"/>
            <w:vAlign w:val="center"/>
          </w:tcPr>
          <w:p w:rsidR="00A168FC" w:rsidRPr="00577074" w:rsidRDefault="00A168FC" w:rsidP="0074782E">
            <w:pPr>
              <w:widowControl w:val="0"/>
              <w:overflowPunct/>
              <w:autoSpaceDE/>
              <w:autoSpaceDN/>
              <w:adjustRightInd/>
              <w:ind w:firstLine="0"/>
              <w:jc w:val="center"/>
              <w:textAlignment w:val="auto"/>
              <w:rPr>
                <w:snapToGrid w:val="0"/>
                <w:szCs w:val="20"/>
              </w:rPr>
            </w:pPr>
            <w:r w:rsidRPr="00577074">
              <w:rPr>
                <w:snapToGrid w:val="0"/>
                <w:szCs w:val="20"/>
              </w:rPr>
              <w:t>4</w:t>
            </w:r>
          </w:p>
        </w:tc>
        <w:tc>
          <w:tcPr>
            <w:tcW w:w="2126" w:type="dxa"/>
            <w:vAlign w:val="center"/>
          </w:tcPr>
          <w:p w:rsidR="00A168FC" w:rsidRPr="00577074" w:rsidRDefault="00A168FC" w:rsidP="0074782E">
            <w:pPr>
              <w:widowControl w:val="0"/>
              <w:overflowPunct/>
              <w:autoSpaceDE/>
              <w:autoSpaceDN/>
              <w:adjustRightInd/>
              <w:ind w:firstLine="0"/>
              <w:jc w:val="center"/>
              <w:textAlignment w:val="auto"/>
              <w:rPr>
                <w:snapToGrid w:val="0"/>
                <w:szCs w:val="20"/>
              </w:rPr>
            </w:pPr>
            <w:r w:rsidRPr="00577074">
              <w:rPr>
                <w:snapToGrid w:val="0"/>
                <w:szCs w:val="20"/>
                <w:lang w:eastAsia="en-US"/>
              </w:rPr>
              <w:t>M2, D</w:t>
            </w:r>
          </w:p>
        </w:tc>
        <w:tc>
          <w:tcPr>
            <w:tcW w:w="1169" w:type="dxa"/>
            <w:vAlign w:val="center"/>
          </w:tcPr>
          <w:p w:rsidR="00A168FC" w:rsidRPr="00577074" w:rsidRDefault="00A168FC" w:rsidP="0074782E">
            <w:pPr>
              <w:widowControl w:val="0"/>
              <w:overflowPunct/>
              <w:autoSpaceDE/>
              <w:autoSpaceDN/>
              <w:adjustRightInd/>
              <w:ind w:firstLine="0"/>
              <w:jc w:val="center"/>
              <w:textAlignment w:val="auto"/>
              <w:rPr>
                <w:snapToGrid w:val="0"/>
                <w:szCs w:val="20"/>
              </w:rPr>
            </w:pPr>
            <w:r w:rsidRPr="00577074">
              <w:rPr>
                <w:snapToGrid w:val="0"/>
                <w:szCs w:val="20"/>
              </w:rPr>
              <w:t>65</w:t>
            </w:r>
          </w:p>
        </w:tc>
        <w:tc>
          <w:tcPr>
            <w:tcW w:w="1170" w:type="dxa"/>
            <w:vAlign w:val="center"/>
          </w:tcPr>
          <w:p w:rsidR="00A168FC" w:rsidRPr="00577074" w:rsidRDefault="00A168FC" w:rsidP="0074782E">
            <w:pPr>
              <w:widowControl w:val="0"/>
              <w:overflowPunct/>
              <w:autoSpaceDE/>
              <w:autoSpaceDN/>
              <w:adjustRightInd/>
              <w:ind w:firstLine="0"/>
              <w:jc w:val="center"/>
              <w:textAlignment w:val="auto"/>
              <w:rPr>
                <w:snapToGrid w:val="0"/>
                <w:szCs w:val="20"/>
              </w:rPr>
            </w:pPr>
            <w:r w:rsidRPr="00577074">
              <w:rPr>
                <w:snapToGrid w:val="0"/>
                <w:szCs w:val="20"/>
              </w:rPr>
              <w:t>65</w:t>
            </w:r>
          </w:p>
        </w:tc>
        <w:tc>
          <w:tcPr>
            <w:tcW w:w="1169" w:type="dxa"/>
            <w:vAlign w:val="center"/>
          </w:tcPr>
          <w:p w:rsidR="00A168FC" w:rsidRPr="00577074" w:rsidRDefault="00A168FC" w:rsidP="0074782E">
            <w:pPr>
              <w:widowControl w:val="0"/>
              <w:overflowPunct/>
              <w:autoSpaceDE/>
              <w:autoSpaceDN/>
              <w:adjustRightInd/>
              <w:ind w:firstLine="0"/>
              <w:jc w:val="center"/>
              <w:textAlignment w:val="auto"/>
              <w:rPr>
                <w:snapToGrid w:val="0"/>
                <w:szCs w:val="20"/>
              </w:rPr>
            </w:pPr>
            <w:r w:rsidRPr="00577074">
              <w:rPr>
                <w:snapToGrid w:val="0"/>
                <w:szCs w:val="20"/>
              </w:rPr>
              <w:t>50</w:t>
            </w:r>
          </w:p>
        </w:tc>
        <w:tc>
          <w:tcPr>
            <w:tcW w:w="1170" w:type="dxa"/>
            <w:vAlign w:val="center"/>
          </w:tcPr>
          <w:p w:rsidR="00A168FC" w:rsidRPr="00577074" w:rsidRDefault="00A168FC" w:rsidP="0074782E">
            <w:pPr>
              <w:widowControl w:val="0"/>
              <w:overflowPunct/>
              <w:autoSpaceDE/>
              <w:autoSpaceDN/>
              <w:adjustRightInd/>
              <w:ind w:firstLine="0"/>
              <w:jc w:val="center"/>
              <w:textAlignment w:val="auto"/>
              <w:rPr>
                <w:snapToGrid w:val="0"/>
                <w:szCs w:val="20"/>
              </w:rPr>
            </w:pPr>
            <w:r w:rsidRPr="00577074">
              <w:rPr>
                <w:snapToGrid w:val="0"/>
                <w:szCs w:val="20"/>
              </w:rPr>
              <w:t>66</w:t>
            </w:r>
          </w:p>
        </w:tc>
      </w:tr>
      <w:tr w:rsidR="00A168FC" w:rsidRPr="00577074" w:rsidTr="0074782E">
        <w:trPr>
          <w:trHeight w:val="230"/>
        </w:trPr>
        <w:tc>
          <w:tcPr>
            <w:tcW w:w="1271" w:type="dxa"/>
            <w:vAlign w:val="center"/>
          </w:tcPr>
          <w:p w:rsidR="00A168FC" w:rsidRPr="00577074" w:rsidRDefault="00A168FC" w:rsidP="0074782E">
            <w:pPr>
              <w:widowControl w:val="0"/>
              <w:overflowPunct/>
              <w:autoSpaceDE/>
              <w:autoSpaceDN/>
              <w:adjustRightInd/>
              <w:ind w:firstLine="0"/>
              <w:jc w:val="center"/>
              <w:textAlignment w:val="auto"/>
              <w:rPr>
                <w:snapToGrid w:val="0"/>
                <w:szCs w:val="20"/>
              </w:rPr>
            </w:pPr>
            <w:r w:rsidRPr="00577074">
              <w:rPr>
                <w:snapToGrid w:val="0"/>
                <w:szCs w:val="20"/>
              </w:rPr>
              <w:t>5</w:t>
            </w:r>
          </w:p>
        </w:tc>
        <w:tc>
          <w:tcPr>
            <w:tcW w:w="2126" w:type="dxa"/>
            <w:vAlign w:val="center"/>
          </w:tcPr>
          <w:p w:rsidR="00A168FC" w:rsidRPr="00577074" w:rsidRDefault="00A168FC" w:rsidP="0074782E">
            <w:pPr>
              <w:widowControl w:val="0"/>
              <w:overflowPunct/>
              <w:autoSpaceDE/>
              <w:autoSpaceDN/>
              <w:adjustRightInd/>
              <w:ind w:firstLine="0"/>
              <w:jc w:val="center"/>
              <w:textAlignment w:val="auto"/>
              <w:rPr>
                <w:snapToGrid w:val="0"/>
                <w:szCs w:val="20"/>
              </w:rPr>
            </w:pPr>
            <w:r w:rsidRPr="00577074">
              <w:rPr>
                <w:snapToGrid w:val="0"/>
                <w:szCs w:val="20"/>
              </w:rPr>
              <w:t>R, K, T, ZZ,</w:t>
            </w:r>
          </w:p>
        </w:tc>
        <w:tc>
          <w:tcPr>
            <w:tcW w:w="1169" w:type="dxa"/>
            <w:vAlign w:val="center"/>
          </w:tcPr>
          <w:p w:rsidR="00A168FC" w:rsidRPr="00577074" w:rsidRDefault="00A168FC" w:rsidP="0074782E">
            <w:pPr>
              <w:widowControl w:val="0"/>
              <w:overflowPunct/>
              <w:autoSpaceDE/>
              <w:autoSpaceDN/>
              <w:adjustRightInd/>
              <w:ind w:firstLine="0"/>
              <w:jc w:val="center"/>
              <w:textAlignment w:val="auto"/>
              <w:rPr>
                <w:snapToGrid w:val="0"/>
                <w:szCs w:val="20"/>
              </w:rPr>
            </w:pPr>
            <w:r w:rsidRPr="00577074">
              <w:rPr>
                <w:snapToGrid w:val="0"/>
                <w:szCs w:val="20"/>
              </w:rPr>
              <w:t>65</w:t>
            </w:r>
          </w:p>
        </w:tc>
        <w:tc>
          <w:tcPr>
            <w:tcW w:w="1170" w:type="dxa"/>
            <w:vAlign w:val="center"/>
          </w:tcPr>
          <w:p w:rsidR="00A168FC" w:rsidRPr="00577074" w:rsidRDefault="00A168FC" w:rsidP="0074782E">
            <w:pPr>
              <w:widowControl w:val="0"/>
              <w:overflowPunct/>
              <w:autoSpaceDE/>
              <w:autoSpaceDN/>
              <w:adjustRightInd/>
              <w:ind w:firstLine="0"/>
              <w:jc w:val="center"/>
              <w:textAlignment w:val="auto"/>
              <w:rPr>
                <w:snapToGrid w:val="0"/>
                <w:szCs w:val="20"/>
              </w:rPr>
            </w:pPr>
            <w:r w:rsidRPr="00577074">
              <w:rPr>
                <w:snapToGrid w:val="0"/>
                <w:szCs w:val="20"/>
              </w:rPr>
              <w:t>65</w:t>
            </w:r>
          </w:p>
        </w:tc>
        <w:tc>
          <w:tcPr>
            <w:tcW w:w="1169" w:type="dxa"/>
            <w:vAlign w:val="center"/>
          </w:tcPr>
          <w:p w:rsidR="00A168FC" w:rsidRPr="00577074" w:rsidRDefault="00A168FC" w:rsidP="0074782E">
            <w:pPr>
              <w:widowControl w:val="0"/>
              <w:overflowPunct/>
              <w:autoSpaceDE/>
              <w:autoSpaceDN/>
              <w:adjustRightInd/>
              <w:ind w:firstLine="0"/>
              <w:jc w:val="center"/>
              <w:textAlignment w:val="auto"/>
              <w:rPr>
                <w:snapToGrid w:val="0"/>
                <w:szCs w:val="20"/>
              </w:rPr>
            </w:pPr>
            <w:r w:rsidRPr="00577074">
              <w:rPr>
                <w:snapToGrid w:val="0"/>
                <w:szCs w:val="20"/>
              </w:rPr>
              <w:t>55</w:t>
            </w:r>
          </w:p>
        </w:tc>
        <w:tc>
          <w:tcPr>
            <w:tcW w:w="1170" w:type="dxa"/>
            <w:vAlign w:val="center"/>
          </w:tcPr>
          <w:p w:rsidR="00A168FC" w:rsidRPr="00577074" w:rsidRDefault="00A168FC" w:rsidP="0074782E">
            <w:pPr>
              <w:widowControl w:val="0"/>
              <w:overflowPunct/>
              <w:autoSpaceDE/>
              <w:autoSpaceDN/>
              <w:adjustRightInd/>
              <w:ind w:firstLine="0"/>
              <w:jc w:val="center"/>
              <w:textAlignment w:val="auto"/>
              <w:rPr>
                <w:snapToGrid w:val="0"/>
                <w:szCs w:val="20"/>
              </w:rPr>
            </w:pPr>
            <w:r w:rsidRPr="00577074">
              <w:rPr>
                <w:snapToGrid w:val="0"/>
                <w:szCs w:val="20"/>
              </w:rPr>
              <w:t>67</w:t>
            </w:r>
          </w:p>
        </w:tc>
      </w:tr>
      <w:tr w:rsidR="00A168FC" w:rsidRPr="00577074" w:rsidTr="0074782E">
        <w:trPr>
          <w:trHeight w:val="230"/>
        </w:trPr>
        <w:tc>
          <w:tcPr>
            <w:tcW w:w="1271" w:type="dxa"/>
            <w:vAlign w:val="center"/>
          </w:tcPr>
          <w:p w:rsidR="00A168FC" w:rsidRPr="00577074" w:rsidRDefault="00A168FC" w:rsidP="0074782E">
            <w:pPr>
              <w:widowControl w:val="0"/>
              <w:overflowPunct/>
              <w:autoSpaceDE/>
              <w:autoSpaceDN/>
              <w:adjustRightInd/>
              <w:ind w:firstLine="0"/>
              <w:jc w:val="center"/>
              <w:textAlignment w:val="auto"/>
              <w:rPr>
                <w:snapToGrid w:val="0"/>
                <w:szCs w:val="20"/>
              </w:rPr>
            </w:pPr>
            <w:r w:rsidRPr="00577074">
              <w:rPr>
                <w:snapToGrid w:val="0"/>
                <w:szCs w:val="20"/>
              </w:rPr>
              <w:t>6</w:t>
            </w:r>
          </w:p>
        </w:tc>
        <w:tc>
          <w:tcPr>
            <w:tcW w:w="2126" w:type="dxa"/>
            <w:vAlign w:val="center"/>
          </w:tcPr>
          <w:p w:rsidR="00A168FC" w:rsidRPr="00577074" w:rsidRDefault="00A168FC" w:rsidP="0074782E">
            <w:pPr>
              <w:widowControl w:val="0"/>
              <w:overflowPunct/>
              <w:autoSpaceDE/>
              <w:autoSpaceDN/>
              <w:adjustRightInd/>
              <w:ind w:firstLine="0"/>
              <w:jc w:val="center"/>
              <w:textAlignment w:val="auto"/>
              <w:rPr>
                <w:snapToGrid w:val="0"/>
                <w:szCs w:val="20"/>
              </w:rPr>
            </w:pPr>
            <w:r w:rsidRPr="00577074">
              <w:rPr>
                <w:snapToGrid w:val="0"/>
                <w:szCs w:val="20"/>
              </w:rPr>
              <w:t>I</w:t>
            </w:r>
          </w:p>
        </w:tc>
        <w:tc>
          <w:tcPr>
            <w:tcW w:w="4678" w:type="dxa"/>
            <w:gridSpan w:val="4"/>
            <w:vAlign w:val="center"/>
          </w:tcPr>
          <w:p w:rsidR="00A168FC" w:rsidRPr="00577074" w:rsidRDefault="00A168FC" w:rsidP="0074782E">
            <w:pPr>
              <w:widowControl w:val="0"/>
              <w:overflowPunct/>
              <w:autoSpaceDE/>
              <w:autoSpaceDN/>
              <w:adjustRightInd/>
              <w:ind w:firstLine="0"/>
              <w:jc w:val="center"/>
              <w:textAlignment w:val="auto"/>
              <w:rPr>
                <w:snapToGrid w:val="0"/>
                <w:szCs w:val="20"/>
              </w:rPr>
            </w:pPr>
            <w:r w:rsidRPr="00577074">
              <w:rPr>
                <w:snapToGrid w:val="0"/>
                <w:szCs w:val="20"/>
              </w:rPr>
              <w:t>utvrđuju se na granici funkcionalne zone prema parametrima za zonu buke s kojom graniče.</w:t>
            </w:r>
          </w:p>
        </w:tc>
      </w:tr>
    </w:tbl>
    <w:p w:rsidR="00A168FC" w:rsidRPr="00577074" w:rsidRDefault="00A168FC" w:rsidP="00A168FC">
      <w:pPr>
        <w:tabs>
          <w:tab w:val="left" w:pos="851"/>
        </w:tabs>
        <w:overflowPunct/>
        <w:autoSpaceDE/>
        <w:autoSpaceDN/>
        <w:adjustRightInd/>
        <w:ind w:left="284" w:hanging="284"/>
        <w:textAlignment w:val="auto"/>
        <w:outlineLvl w:val="0"/>
        <w:rPr>
          <w:szCs w:val="20"/>
        </w:rPr>
      </w:pPr>
    </w:p>
    <w:p w:rsidR="00A168FC" w:rsidRPr="00577074" w:rsidRDefault="00A168FC" w:rsidP="00A168FC">
      <w:pPr>
        <w:spacing w:after="60"/>
        <w:ind w:firstLine="0"/>
        <w:rPr>
          <w:szCs w:val="20"/>
        </w:rPr>
      </w:pPr>
      <w:r w:rsidRPr="00577074">
        <w:rPr>
          <w:szCs w:val="20"/>
        </w:rPr>
        <w:t>(4) Za funkcionalne zone za koje je planski utvrđena detaljnija razdioba, a nisu posebno naznačene u tabeli iz prethodnog stavka, zona buke je ista kao za sve iz iste grupe namjena (npr. za funkcionalne zone D4 zona buke utvrđuje se kao za funkcionalnu zonu D).</w:t>
      </w:r>
    </w:p>
    <w:p w:rsidR="00A168FC" w:rsidRPr="00577074" w:rsidRDefault="00A168FC" w:rsidP="00A168FC">
      <w:pPr>
        <w:spacing w:after="60"/>
        <w:ind w:firstLine="0"/>
        <w:rPr>
          <w:szCs w:val="20"/>
        </w:rPr>
      </w:pPr>
      <w:r w:rsidRPr="00577074">
        <w:rPr>
          <w:szCs w:val="20"/>
        </w:rPr>
        <w:t xml:space="preserve">(5) Na granicama pojedinih funkcionalnih zona potrebno je postići </w:t>
      </w:r>
      <w:proofErr w:type="spellStart"/>
      <w:r w:rsidRPr="00577074">
        <w:rPr>
          <w:szCs w:val="20"/>
        </w:rPr>
        <w:t>ocjensku</w:t>
      </w:r>
      <w:proofErr w:type="spellEnd"/>
      <w:r w:rsidRPr="00577074">
        <w:rPr>
          <w:szCs w:val="20"/>
        </w:rPr>
        <w:t xml:space="preserve"> razinu buke za zonu s manjom dopuštenom </w:t>
      </w:r>
      <w:proofErr w:type="spellStart"/>
      <w:r w:rsidRPr="00577074">
        <w:rPr>
          <w:szCs w:val="20"/>
        </w:rPr>
        <w:t>ocjenskom</w:t>
      </w:r>
      <w:proofErr w:type="spellEnd"/>
      <w:r w:rsidRPr="00577074">
        <w:rPr>
          <w:szCs w:val="20"/>
        </w:rPr>
        <w:t xml:space="preserve"> razinom buke.</w:t>
      </w:r>
    </w:p>
    <w:p w:rsidR="00A168FC" w:rsidRPr="00577074" w:rsidRDefault="00A168FC" w:rsidP="00A168FC">
      <w:pPr>
        <w:spacing w:after="60"/>
        <w:ind w:firstLine="0"/>
        <w:rPr>
          <w:szCs w:val="20"/>
        </w:rPr>
      </w:pPr>
      <w:r w:rsidRPr="00577074">
        <w:rPr>
          <w:szCs w:val="20"/>
        </w:rPr>
        <w:t xml:space="preserve">(6) Za utvrđivanje zone buke, odnosno najviše dopuštene </w:t>
      </w:r>
      <w:proofErr w:type="spellStart"/>
      <w:r w:rsidRPr="00577074">
        <w:rPr>
          <w:szCs w:val="20"/>
        </w:rPr>
        <w:t>ocjenske</w:t>
      </w:r>
      <w:proofErr w:type="spellEnd"/>
      <w:r w:rsidRPr="00577074">
        <w:rPr>
          <w:szCs w:val="20"/>
        </w:rPr>
        <w:t xml:space="preserve"> razine buke vanjskih prostora izvan građevinskih područja, posebni propisi se primjenjuju neposredno.</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37"/>
        </w:numPr>
      </w:pPr>
      <w:r w:rsidRPr="00577074">
        <w:t>U članku 197. stavku 1. iza teksta: „92/10“ dodaje se zarez i tekst: „114/22“.</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44"/>
        </w:numPr>
      </w:pPr>
      <w:r w:rsidRPr="00577074">
        <w:t>U članku 202. stavku 1. iza teksta „39/19“ dodaje se zarez i tekst: „125/19“.</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45"/>
        </w:numPr>
      </w:pPr>
      <w:r w:rsidRPr="00577074">
        <w:t xml:space="preserve">U članku 203. stavku </w:t>
      </w:r>
      <w:r>
        <w:t>4</w:t>
      </w:r>
      <w:r w:rsidRPr="00577074">
        <w:t>. iza teksta: „82/15“ dodaje se zarez i tekst: „118/18, 31/20, 20/21, 114/22“.</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62"/>
        </w:numPr>
      </w:pPr>
      <w:r w:rsidRPr="00577074">
        <w:t>U članku 205. stavku 1. tekst: „provedbenih prostornih planova“ zamjenjuje se tekstom: „prostornih planova užih područja“.</w:t>
      </w:r>
    </w:p>
    <w:p w:rsidR="00A168FC" w:rsidRPr="00577074" w:rsidRDefault="00A168FC" w:rsidP="00A168FC">
      <w:pPr>
        <w:pStyle w:val="Normalstavci"/>
        <w:numPr>
          <w:ilvl w:val="0"/>
          <w:numId w:val="38"/>
        </w:numPr>
      </w:pPr>
      <w:r w:rsidRPr="00577074">
        <w:t>U članku 205. stavku 2. tekst: „provedbenog prostornog plana“ zamjenjuje se tekstom: „prostornog plana užega područja“.</w:t>
      </w:r>
    </w:p>
    <w:p w:rsidR="00A168FC" w:rsidRPr="00577074" w:rsidRDefault="00A168FC" w:rsidP="00A168FC">
      <w:pPr>
        <w:pStyle w:val="Normalstavci"/>
        <w:numPr>
          <w:ilvl w:val="0"/>
          <w:numId w:val="38"/>
        </w:numPr>
      </w:pPr>
      <w:r w:rsidRPr="00577074">
        <w:t>U članku 205. stavku 3. tekst: provedbenih prostornih planova“ zamjenjuje se tekstom: „prostornih planova užih područja“.</w:t>
      </w:r>
    </w:p>
    <w:p w:rsidR="00A168FC" w:rsidRPr="00577074" w:rsidRDefault="00A168FC" w:rsidP="00A168FC">
      <w:pPr>
        <w:pStyle w:val="Normalstavci"/>
        <w:numPr>
          <w:ilvl w:val="0"/>
          <w:numId w:val="38"/>
        </w:numPr>
      </w:pPr>
      <w:r w:rsidRPr="00577074">
        <w:t>U članku 205. stavku 4. tekst: „Provedbeni prostorni plan“ zamjenjuje se tekstom: „Prostorni plan užega područja“.</w:t>
      </w:r>
    </w:p>
    <w:p w:rsidR="00A168FC" w:rsidRPr="00577074" w:rsidRDefault="00A168FC" w:rsidP="00A168FC">
      <w:pPr>
        <w:pStyle w:val="Normalstavci"/>
        <w:numPr>
          <w:ilvl w:val="0"/>
          <w:numId w:val="38"/>
        </w:numPr>
      </w:pPr>
      <w:r w:rsidRPr="00577074">
        <w:t>U članku 205. stavku 5. tekst: „komunalno“ se briše, a tekst: „provedbeni prostorni plan“ zamjenjuje se tekstom: „prostorni plan užega područja“.</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39"/>
        </w:numPr>
      </w:pPr>
      <w:r w:rsidRPr="00577074">
        <w:t>U članku 206. stavku 1. tekst: provedbenih prostornih planova“ zamjenjuje se tekstom: „prostornih planova užih područja“.</w:t>
      </w:r>
    </w:p>
    <w:p w:rsidR="00A168FC" w:rsidRPr="00577074" w:rsidRDefault="00A168FC" w:rsidP="00A168FC">
      <w:pPr>
        <w:pStyle w:val="Normalstavci"/>
        <w:numPr>
          <w:ilvl w:val="0"/>
          <w:numId w:val="39"/>
        </w:numPr>
      </w:pPr>
      <w:r w:rsidRPr="00577074">
        <w:t>U članku 206. stavku 1. dodaje se nova alineja 1. koja glasi:</w:t>
      </w:r>
    </w:p>
    <w:p w:rsidR="00A168FC" w:rsidRPr="00577074" w:rsidRDefault="00A168FC" w:rsidP="00A168FC">
      <w:pPr>
        <w:pStyle w:val="Normalstavci"/>
        <w:numPr>
          <w:ilvl w:val="0"/>
          <w:numId w:val="0"/>
        </w:numPr>
        <w:ind w:left="360" w:hanging="360"/>
      </w:pPr>
    </w:p>
    <w:p w:rsidR="00A168FC" w:rsidRPr="00577074" w:rsidRDefault="00A168FC" w:rsidP="00A168FC">
      <w:pPr>
        <w:ind w:firstLine="0"/>
      </w:pPr>
      <w:r w:rsidRPr="00577074">
        <w:t>„ - uvjeti utvrđeni člankom 58a. odredbi za provedbu Prostornog plana Međimurske županije:</w:t>
      </w:r>
    </w:p>
    <w:p w:rsidR="00A168FC" w:rsidRPr="00577074" w:rsidRDefault="00A168FC" w:rsidP="00A168FC">
      <w:pPr>
        <w:pStyle w:val="Normaluvueno"/>
        <w:tabs>
          <w:tab w:val="num" w:pos="360"/>
        </w:tabs>
      </w:pPr>
      <w:r w:rsidRPr="00577074">
        <w:t>pri planiranju prostora za razvoj mješovite, pretežito stambene namjene, najmanje 5% planiranih površina mora biti namijenjeno javno zelenim površinama javne namjene, ne uključujući zeleni koridor prometnih površina</w:t>
      </w:r>
    </w:p>
    <w:p w:rsidR="00A168FC" w:rsidRPr="00577074" w:rsidRDefault="00A168FC" w:rsidP="00A168FC">
      <w:pPr>
        <w:pStyle w:val="Normaluvueno"/>
        <w:tabs>
          <w:tab w:val="num" w:pos="360"/>
        </w:tabs>
      </w:pPr>
      <w:r w:rsidRPr="00577074">
        <w:t>javne zelene površine potrebno je oblikovati na način da je najmanje 1/3 površine pokriveno visokim zelenilom</w:t>
      </w:r>
    </w:p>
    <w:p w:rsidR="00A168FC" w:rsidRPr="00577074" w:rsidRDefault="00A168FC" w:rsidP="00A168FC">
      <w:pPr>
        <w:pStyle w:val="Normaluvueno"/>
        <w:tabs>
          <w:tab w:val="num" w:pos="360"/>
        </w:tabs>
      </w:pPr>
      <w:r w:rsidRPr="00577074">
        <w:t xml:space="preserve">u prostornim planovima užih područja, obuhvata 5 ha i više, mješovite, pretežito stambene namjene potrebno je planirati i sadržaje središnjih funkcija naselja, čija vrsta i karakter ovise o tipu naselja, o sadržajima središnjih funkcija koji nedostaju </w:t>
      </w:r>
      <w:r w:rsidRPr="00577074">
        <w:lastRenderedPageBreak/>
        <w:t>naselju, a mogu biti prilagođeni potrebama dijela naselja ili šireg okruženja planiranog prostora za razvoj“</w:t>
      </w:r>
    </w:p>
    <w:p w:rsidR="00A168FC" w:rsidRPr="00577074" w:rsidRDefault="00A168FC" w:rsidP="00A168FC">
      <w:pPr>
        <w:pStyle w:val="Normalstavci"/>
        <w:numPr>
          <w:ilvl w:val="0"/>
          <w:numId w:val="0"/>
        </w:numPr>
        <w:ind w:left="360" w:hanging="360"/>
      </w:pPr>
    </w:p>
    <w:p w:rsidR="00A168FC" w:rsidRPr="00577074" w:rsidRDefault="00A168FC" w:rsidP="00A168FC">
      <w:pPr>
        <w:pStyle w:val="Normalstavci"/>
        <w:numPr>
          <w:ilvl w:val="0"/>
          <w:numId w:val="39"/>
        </w:numPr>
      </w:pPr>
      <w:r w:rsidRPr="00577074">
        <w:t>U članku 206. stavku 1. dosadašnje alineje 1. i 2. postaju alineje 2. i 3.</w:t>
      </w:r>
    </w:p>
    <w:p w:rsidR="00A168FC" w:rsidRPr="00577074" w:rsidRDefault="00A168FC" w:rsidP="00A168FC">
      <w:pPr>
        <w:pStyle w:val="Normalstavci"/>
        <w:numPr>
          <w:ilvl w:val="0"/>
          <w:numId w:val="39"/>
        </w:numPr>
      </w:pPr>
      <w:r w:rsidRPr="00577074">
        <w:t>U članku 206. stavku 2. tekst: „provedbenog planiranja“ zamjenjuju se tekstom: „izrade prostornog plana užega područja“.</w:t>
      </w:r>
    </w:p>
    <w:p w:rsidR="00A168FC" w:rsidRDefault="00A168FC" w:rsidP="00A168FC">
      <w:pPr>
        <w:pStyle w:val="Normalstavci"/>
        <w:numPr>
          <w:ilvl w:val="0"/>
          <w:numId w:val="39"/>
        </w:numPr>
      </w:pPr>
      <w:r w:rsidRPr="00577074">
        <w:t>U članku 206. stavku 2. alineja 2. se briše, a dosadašnje alineje 2., 3 i 4. postaju alineje 1., 2. i 3.</w:t>
      </w:r>
    </w:p>
    <w:p w:rsidR="00A168FC" w:rsidRDefault="00A168FC" w:rsidP="00A168FC">
      <w:pPr>
        <w:pStyle w:val="Normalstavci"/>
        <w:numPr>
          <w:ilvl w:val="0"/>
          <w:numId w:val="0"/>
        </w:numPr>
        <w:ind w:left="360" w:hanging="360"/>
      </w:pPr>
    </w:p>
    <w:p w:rsidR="00A168FC" w:rsidRDefault="00A168FC" w:rsidP="00A168FC">
      <w:pPr>
        <w:overflowPunct/>
        <w:autoSpaceDE/>
        <w:autoSpaceDN/>
        <w:adjustRightInd/>
        <w:ind w:firstLine="0"/>
        <w:jc w:val="left"/>
        <w:textAlignment w:val="auto"/>
        <w:rPr>
          <w:szCs w:val="20"/>
        </w:rPr>
      </w:pPr>
      <w:r>
        <w:br w:type="page"/>
      </w:r>
    </w:p>
    <w:p w:rsidR="00A168FC" w:rsidRPr="00577074" w:rsidRDefault="00A168FC" w:rsidP="00A168FC">
      <w:pPr>
        <w:pStyle w:val="Normalstavci"/>
        <w:numPr>
          <w:ilvl w:val="0"/>
          <w:numId w:val="0"/>
        </w:numPr>
        <w:ind w:left="360" w:hanging="360"/>
      </w:pPr>
    </w:p>
    <w:p w:rsidR="00A168FC" w:rsidRPr="00577074" w:rsidRDefault="00A168FC" w:rsidP="00A168FC">
      <w:pPr>
        <w:pStyle w:val="Odlomakpopisa"/>
        <w:numPr>
          <w:ilvl w:val="0"/>
          <w:numId w:val="4"/>
        </w:numPr>
        <w:overflowPunct/>
        <w:autoSpaceDE/>
        <w:autoSpaceDN/>
        <w:adjustRightInd/>
        <w:spacing w:before="360" w:after="480"/>
        <w:jc w:val="left"/>
        <w:textAlignment w:val="auto"/>
        <w:rPr>
          <w:b/>
          <w:sz w:val="24"/>
        </w:rPr>
      </w:pPr>
      <w:r w:rsidRPr="00577074">
        <w:rPr>
          <w:b/>
          <w:sz w:val="24"/>
        </w:rPr>
        <w:t>PRIJELAZNE I ZAVRŠNE ODREDBE</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63"/>
        </w:numPr>
      </w:pPr>
      <w:r w:rsidRPr="00577074">
        <w:t>Stupanjem na snagu ove Odluke, dosadašnji kartografski prikazi brojeva 1., 2. 3., 4.1., 4.2., 4.4., 4.6. i 4.7. iz II. izmjena i dopuna Prostornog plana uređenja Općine Sveti Juraj na Bregu prestaju važiti, a umjesto njih se primjenjuju kartografski prikazi istih brojeva i naziva, navedeni u članku 3. ove Odluke.</w:t>
      </w:r>
    </w:p>
    <w:p w:rsidR="00A168FC" w:rsidRPr="00577074" w:rsidRDefault="00A168FC" w:rsidP="00A168FC">
      <w:pPr>
        <w:pStyle w:val="Normalstavci"/>
        <w:numPr>
          <w:ilvl w:val="0"/>
          <w:numId w:val="38"/>
        </w:numPr>
      </w:pPr>
      <w:r w:rsidRPr="00577074">
        <w:t>Kartografski prikazi iz II. izmjena i dopuna Prostornog plana uređenja Općine Sveti Juraj na Bregu brojeva 4.3., 4.5., 4.8. i 4.9. se nadalje primjenjuju.</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6"/>
        </w:numPr>
      </w:pPr>
      <w:r w:rsidRPr="00577074">
        <w:t>U slučajevima za koje je prostornim planom više razine provedba zahvata za građevine od državnog i/ili županijskog značaja utvrđena obvezom neposredne primjene prostornog plana više razine (državnog ili županijskog), prema ovoj Odluci se provodi samo zaštita utvrđenih površina i koridora rezerviranih za građevine, zahvate i površine državnog i/ili županijskog značaja.</w:t>
      </w:r>
    </w:p>
    <w:p w:rsidR="00A168FC" w:rsidRPr="00577074" w:rsidRDefault="00A168FC" w:rsidP="00A168FC">
      <w:pPr>
        <w:pStyle w:val="Normalstavci"/>
        <w:numPr>
          <w:ilvl w:val="0"/>
          <w:numId w:val="6"/>
        </w:numPr>
      </w:pPr>
      <w:r w:rsidRPr="00577074">
        <w:t>Neposredno se primjenjuju odredbe za provedbu Prostornog plana Međimurske županije („Službeni glasnik Međimurske županije“ broj  7/01, 8/01, 23/10, 3/11, 7/19, 12/19-pročišćeni tekst):</w:t>
      </w:r>
    </w:p>
    <w:p w:rsidR="00A168FC" w:rsidRPr="00577074" w:rsidRDefault="00A168FC" w:rsidP="00A168FC">
      <w:pPr>
        <w:pStyle w:val="Normaluvueno"/>
        <w:tabs>
          <w:tab w:val="num" w:pos="360"/>
        </w:tabs>
      </w:pPr>
      <w:r w:rsidRPr="00577074">
        <w:t>članci 211a., 211b. i 211c. za zahvate u prostoru državnog značaja – eksploatacija ugljikovodika i geotermalne vode u energetske svrhe i elektroenergetski prijenos</w:t>
      </w:r>
    </w:p>
    <w:p w:rsidR="00A168FC" w:rsidRPr="00577074" w:rsidRDefault="00A168FC" w:rsidP="00A168FC">
      <w:pPr>
        <w:pStyle w:val="Normaluvueno"/>
        <w:tabs>
          <w:tab w:val="num" w:pos="360"/>
        </w:tabs>
      </w:pPr>
      <w:r w:rsidRPr="00577074">
        <w:t>članak 211d. za zahvate u prostoru županijskog značaja – samostojeći antenski stupovi pokretnih i nepokretnih elektroničkih komunikacija, županijski elektronički komunikacijski vodovi, dalekovodi 35 kV – 220 kV s trafostanicom i rasklopnim postrojenjem i površine za zbrinjavanje viška mineralnih sirovina.</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40"/>
        </w:numPr>
      </w:pPr>
      <w:r w:rsidRPr="00577074">
        <w:t>Uvjeti smještaja i oblikovanja jednostavnih građevina određenih odgovarajućim podzakonskim propisom (Pravilnik o jednostavnim i drugim građevinama i radovima, „Narodne novine“ br. 112/17, 34/18, 36/19, 98/19, 31/20) utvrđuju se ovisno o namjeni jednostavne građevine, prema odredbama za provedbu Prostornog plana uređenja Općine, odnosno na isti način kao i za građevine za koje je zakonom kojim se uređuje gradnje utvrđena obveza ishođenja građevinske dozvole.</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41"/>
        </w:numPr>
      </w:pPr>
      <w:r w:rsidRPr="00577074">
        <w:t>Infrastruktura koja nije predviđena prostornim planom užega područja može se graditi neposrednom primjenom kartografskih prikaza iz Prostornog plana uređenja Općine i/ili odredbi ove Odluke, te se isto ne smatra neusklađenošću prostornog plana užega područja s prostornim planom širega područja.</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42"/>
        </w:numPr>
      </w:pPr>
      <w:r w:rsidRPr="00577074">
        <w:t>Svi propisi navedeni u ovoj Odluci kao osnova za utvrđivanje uvjeta provedbe zahvata u prostoru, u slučajevima izmjene i dopune, odnosno supstitucije propisa novim, u primjeni ove Odluke zamjenjuju se važećim propisom.</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43"/>
        </w:numPr>
      </w:pPr>
      <w:r w:rsidRPr="00577074">
        <w:t>Elaborat izvornika III. izmjena i dopuna Prostornog plana uređenja Općine Sveti Juraj na Bregu ovjerava predsjednik Općinskog vijeća.</w:t>
      </w:r>
    </w:p>
    <w:p w:rsidR="00A168FC" w:rsidRPr="00577074" w:rsidRDefault="00A168FC" w:rsidP="00A168FC">
      <w:pPr>
        <w:pStyle w:val="Normalstavci"/>
        <w:numPr>
          <w:ilvl w:val="0"/>
          <w:numId w:val="29"/>
        </w:numPr>
      </w:pPr>
      <w:r w:rsidRPr="00577074">
        <w:lastRenderedPageBreak/>
        <w:t>Izvornik je izrađen u 4 primjerka.</w:t>
      </w:r>
    </w:p>
    <w:p w:rsidR="00A168FC" w:rsidRPr="00577074" w:rsidRDefault="00A168FC" w:rsidP="00A168FC">
      <w:pPr>
        <w:pStyle w:val="Normalstavci"/>
        <w:numPr>
          <w:ilvl w:val="0"/>
          <w:numId w:val="29"/>
        </w:numPr>
      </w:pPr>
      <w:r w:rsidRPr="00577074">
        <w:t>Digitalni oblik elaborata III. izmjena i dopuna Prostornog plana uređenja Općine Sveti Juraj na Bregu, istovjetan izvorniku, kao i digitalni oblik ove Odluke dostupni su na općinskim mrežnim stranicama.</w:t>
      </w:r>
    </w:p>
    <w:p w:rsidR="00A168FC" w:rsidRPr="00577074" w:rsidRDefault="00A168FC" w:rsidP="00A168FC">
      <w:pPr>
        <w:pStyle w:val="lanak"/>
      </w:pPr>
      <w:r w:rsidRPr="00577074">
        <w:t xml:space="preserve">Članak </w:t>
      </w:r>
      <w:r w:rsidRPr="00577074">
        <w:fldChar w:fldCharType="begin"/>
      </w:r>
      <w:r w:rsidRPr="00577074">
        <w:instrText xml:space="preserve">AUTONUM </w:instrText>
      </w:r>
      <w:r w:rsidRPr="00577074">
        <w:fldChar w:fldCharType="separate"/>
      </w:r>
      <w:r w:rsidRPr="00577074">
        <w:t>1.</w:t>
      </w:r>
      <w:r w:rsidRPr="00577074">
        <w:fldChar w:fldCharType="end"/>
      </w:r>
    </w:p>
    <w:p w:rsidR="00A168FC" w:rsidRPr="00577074" w:rsidRDefault="00A168FC" w:rsidP="00A168FC">
      <w:pPr>
        <w:pStyle w:val="Normalstavci"/>
        <w:numPr>
          <w:ilvl w:val="0"/>
          <w:numId w:val="64"/>
        </w:numPr>
      </w:pPr>
      <w:r w:rsidRPr="00577074">
        <w:t>Ova Odluka stupa na snagu osmog dana od dana objave u „Službenom glasniku Međimurske županije“.</w:t>
      </w:r>
    </w:p>
    <w:p w:rsidR="00A168FC" w:rsidRPr="00577074" w:rsidRDefault="00A168FC" w:rsidP="00A168FC">
      <w:pPr>
        <w:spacing w:after="120"/>
        <w:ind w:firstLine="0"/>
        <w:jc w:val="center"/>
        <w:rPr>
          <w:szCs w:val="20"/>
        </w:rPr>
      </w:pPr>
    </w:p>
    <w:p w:rsidR="00A168FC" w:rsidRPr="00A168FC" w:rsidRDefault="00A168FC" w:rsidP="00A168FC">
      <w:pPr>
        <w:spacing w:after="120"/>
        <w:ind w:firstLine="0"/>
        <w:jc w:val="center"/>
        <w:rPr>
          <w:b/>
          <w:szCs w:val="20"/>
        </w:rPr>
      </w:pPr>
      <w:r w:rsidRPr="00A168FC">
        <w:rPr>
          <w:b/>
          <w:szCs w:val="20"/>
        </w:rPr>
        <w:t>OPĆINSKO VIJEĆE OPĆINE SVETI JURAJ NA BREGU</w:t>
      </w:r>
    </w:p>
    <w:p w:rsidR="00A168FC" w:rsidRPr="00577074" w:rsidRDefault="00A168FC" w:rsidP="00A168FC">
      <w:pPr>
        <w:ind w:firstLine="0"/>
        <w:rPr>
          <w:szCs w:val="20"/>
        </w:rPr>
      </w:pPr>
    </w:p>
    <w:p w:rsidR="00A168FC" w:rsidRPr="00577074" w:rsidRDefault="00A168FC" w:rsidP="00A168FC">
      <w:pPr>
        <w:ind w:firstLine="0"/>
        <w:rPr>
          <w:szCs w:val="20"/>
        </w:rPr>
      </w:pPr>
      <w:r w:rsidRPr="00577074">
        <w:rPr>
          <w:szCs w:val="20"/>
        </w:rPr>
        <w:t>KLASA:</w:t>
      </w:r>
      <w:r w:rsidRPr="00A168FC">
        <w:t xml:space="preserve"> </w:t>
      </w:r>
      <w:r w:rsidRPr="00A168FC">
        <w:rPr>
          <w:szCs w:val="20"/>
        </w:rPr>
        <w:t>350-02/22-01/02</w:t>
      </w:r>
    </w:p>
    <w:p w:rsidR="00A168FC" w:rsidRPr="00577074" w:rsidRDefault="00A168FC" w:rsidP="00A168FC">
      <w:pPr>
        <w:ind w:firstLine="0"/>
        <w:rPr>
          <w:szCs w:val="20"/>
        </w:rPr>
      </w:pPr>
      <w:r w:rsidRPr="00577074">
        <w:rPr>
          <w:szCs w:val="20"/>
        </w:rPr>
        <w:t>URBROJ:</w:t>
      </w:r>
      <w:r w:rsidRPr="00A168FC">
        <w:t xml:space="preserve"> </w:t>
      </w:r>
      <w:r w:rsidRPr="00A168FC">
        <w:rPr>
          <w:szCs w:val="20"/>
        </w:rPr>
        <w:t>2109/16-03-23-112</w:t>
      </w:r>
    </w:p>
    <w:p w:rsidR="00A168FC" w:rsidRPr="00577074" w:rsidRDefault="00A168FC" w:rsidP="00A168FC">
      <w:pPr>
        <w:ind w:firstLine="0"/>
        <w:rPr>
          <w:szCs w:val="20"/>
        </w:rPr>
      </w:pPr>
      <w:r w:rsidRPr="00577074">
        <w:rPr>
          <w:szCs w:val="20"/>
        </w:rPr>
        <w:t>Pleškovec</w:t>
      </w:r>
      <w:r>
        <w:rPr>
          <w:szCs w:val="20"/>
        </w:rPr>
        <w:t>, 30. ožujka 2023.</w:t>
      </w:r>
    </w:p>
    <w:p w:rsidR="00A168FC" w:rsidRPr="00577074" w:rsidRDefault="00A168FC" w:rsidP="00A168FC">
      <w:pPr>
        <w:overflowPunct/>
        <w:autoSpaceDE/>
        <w:autoSpaceDN/>
        <w:adjustRightInd/>
        <w:ind w:left="4887" w:firstLine="153"/>
        <w:textAlignment w:val="auto"/>
        <w:rPr>
          <w:szCs w:val="20"/>
        </w:rPr>
      </w:pPr>
    </w:p>
    <w:p w:rsidR="00A168FC" w:rsidRPr="00A168FC" w:rsidRDefault="00A168FC" w:rsidP="00A168FC">
      <w:pPr>
        <w:rPr>
          <w:b/>
          <w:szCs w:val="20"/>
        </w:rPr>
      </w:pPr>
      <w:r w:rsidRPr="00577074">
        <w:rPr>
          <w:szCs w:val="20"/>
        </w:rPr>
        <w:tab/>
      </w:r>
      <w:r w:rsidRPr="00577074">
        <w:rPr>
          <w:szCs w:val="20"/>
        </w:rPr>
        <w:tab/>
      </w:r>
      <w:r w:rsidRPr="00577074">
        <w:rPr>
          <w:szCs w:val="20"/>
        </w:rPr>
        <w:tab/>
      </w:r>
      <w:r w:rsidRPr="00577074">
        <w:rPr>
          <w:szCs w:val="20"/>
        </w:rPr>
        <w:tab/>
      </w:r>
      <w:r>
        <w:rPr>
          <w:szCs w:val="20"/>
        </w:rPr>
        <w:tab/>
      </w:r>
      <w:r w:rsidRPr="00577074">
        <w:rPr>
          <w:szCs w:val="20"/>
        </w:rPr>
        <w:tab/>
      </w:r>
      <w:r>
        <w:rPr>
          <w:szCs w:val="20"/>
        </w:rPr>
        <w:t xml:space="preserve">                       </w:t>
      </w:r>
      <w:r w:rsidRPr="00A168FC">
        <w:rPr>
          <w:b/>
          <w:szCs w:val="20"/>
        </w:rPr>
        <w:t xml:space="preserve">PREDSJEDNIK </w:t>
      </w:r>
    </w:p>
    <w:p w:rsidR="00A168FC" w:rsidRDefault="00A168FC" w:rsidP="00A168FC">
      <w:pPr>
        <w:rPr>
          <w:szCs w:val="20"/>
        </w:rPr>
      </w:pPr>
      <w:r>
        <w:rPr>
          <w:szCs w:val="20"/>
        </w:rPr>
        <w:t xml:space="preserve">                                                                                      Općinskog vijeća</w:t>
      </w:r>
    </w:p>
    <w:p w:rsidR="00A168FC" w:rsidRPr="00EA1CC4" w:rsidRDefault="00A168FC" w:rsidP="00A168FC">
      <w:pPr>
        <w:rPr>
          <w:szCs w:val="20"/>
        </w:rPr>
      </w:pPr>
      <w:r>
        <w:rPr>
          <w:szCs w:val="20"/>
        </w:rPr>
        <w:t xml:space="preserve">                                                                                      Anđelko Kovačić</w:t>
      </w:r>
    </w:p>
    <w:p w:rsidR="00A168FC" w:rsidRPr="002B0D19" w:rsidRDefault="00A168FC" w:rsidP="00A168FC">
      <w:pPr>
        <w:overflowPunct/>
        <w:autoSpaceDE/>
        <w:autoSpaceDN/>
        <w:adjustRightInd/>
        <w:ind w:left="4887" w:firstLine="153"/>
        <w:textAlignment w:val="auto"/>
        <w:rPr>
          <w:sz w:val="18"/>
        </w:rPr>
      </w:pPr>
    </w:p>
    <w:p w:rsidR="00A168FC" w:rsidRPr="00D07C72" w:rsidRDefault="00A168FC" w:rsidP="00A168FC">
      <w:pPr>
        <w:overflowPunct/>
        <w:autoSpaceDE/>
        <w:autoSpaceDN/>
        <w:adjustRightInd/>
        <w:ind w:firstLine="0"/>
        <w:textAlignment w:val="auto"/>
        <w:rPr>
          <w:rFonts w:cs="Arial"/>
          <w:color w:val="000000"/>
        </w:rPr>
      </w:pPr>
    </w:p>
    <w:p w:rsidR="00594B0F" w:rsidRDefault="00594B0F">
      <w:bookmarkStart w:id="2" w:name="_GoBack"/>
      <w:bookmarkEnd w:id="2"/>
    </w:p>
    <w:sectPr w:rsidR="00594B0F" w:rsidSect="00FE0A26">
      <w:headerReference w:type="even" r:id="rId6"/>
      <w:headerReference w:type="default" r:id="rId7"/>
      <w:footerReference w:type="default" r:id="rId8"/>
      <w:pgSz w:w="11906" w:h="16838" w:code="9"/>
      <w:pgMar w:top="1440" w:right="1797" w:bottom="2041"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HR">
    <w:altName w:val="Arial"/>
    <w:charset w:val="EE"/>
    <w:family w:val="swiss"/>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206756"/>
      <w:docPartObj>
        <w:docPartGallery w:val="Page Numbers (Bottom of Page)"/>
        <w:docPartUnique/>
      </w:docPartObj>
    </w:sdtPr>
    <w:sdtEndPr/>
    <w:sdtContent>
      <w:p w:rsidR="00FE0A26" w:rsidRDefault="00A168FC" w:rsidP="00FE0A26">
        <w:pPr>
          <w:pStyle w:val="Podnoje"/>
          <w:pBdr>
            <w:top w:val="single" w:sz="4" w:space="1" w:color="auto"/>
          </w:pBdr>
          <w:jc w:val="center"/>
        </w:pPr>
        <w:r>
          <w:fldChar w:fldCharType="begin"/>
        </w:r>
        <w:r>
          <w:instrText>PAGE   \* MERGEFORMAT</w:instrText>
        </w:r>
        <w:r>
          <w:fldChar w:fldCharType="separate"/>
        </w:r>
        <w:r>
          <w:rPr>
            <w:noProof/>
          </w:rPr>
          <w:t>1</w:t>
        </w:r>
        <w:r>
          <w:fldChar w:fldCharType="end"/>
        </w:r>
      </w:p>
    </w:sdtContent>
  </w:sdt>
  <w:p w:rsidR="00000000" w:rsidRDefault="00A168FC"/>
  <w:p w:rsidR="00000000" w:rsidRDefault="00A168FC" w:rsidP="00A168FC"/>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9C" w:rsidRDefault="00A168FC"/>
  <w:p w:rsidR="00E74D9C" w:rsidRDefault="00A168FC"/>
  <w:p w:rsidR="00E74D9C" w:rsidRDefault="00A168FC" w:rsidP="00E70F69"/>
  <w:p w:rsidR="00E74D9C" w:rsidRDefault="00A168FC" w:rsidP="009C7020"/>
  <w:p w:rsidR="00E74D9C" w:rsidRDefault="00A168FC" w:rsidP="009C7020"/>
  <w:p w:rsidR="00E74D9C" w:rsidRDefault="00A168FC" w:rsidP="00A422B6"/>
  <w:p w:rsidR="00E74D9C" w:rsidRDefault="00A168FC" w:rsidP="00A422B6"/>
  <w:p w:rsidR="00E74D9C" w:rsidRDefault="00A168FC" w:rsidP="00F71A33"/>
  <w:p w:rsidR="00E74D9C" w:rsidRDefault="00A168FC" w:rsidP="00F71A33"/>
  <w:p w:rsidR="00E74D9C" w:rsidRDefault="00A168FC" w:rsidP="00F71A33"/>
  <w:p w:rsidR="00E74D9C" w:rsidRDefault="00A168FC" w:rsidP="00A56461"/>
  <w:p w:rsidR="00E74D9C" w:rsidRDefault="00A168FC" w:rsidP="00E910AD"/>
  <w:p w:rsidR="00E74D9C" w:rsidRDefault="00A168FC" w:rsidP="006C7F03"/>
  <w:p w:rsidR="00E74D9C" w:rsidRDefault="00A168FC" w:rsidP="002D023F"/>
  <w:p w:rsidR="00E74D9C" w:rsidRDefault="00A168FC" w:rsidP="00064768"/>
  <w:p w:rsidR="00E74D9C" w:rsidRDefault="00A168FC" w:rsidP="00560422"/>
  <w:p w:rsidR="00E74D9C" w:rsidRDefault="00A168FC" w:rsidP="007669F2"/>
  <w:p w:rsidR="00E74D9C" w:rsidRDefault="00A168FC" w:rsidP="003F3CA6"/>
  <w:p w:rsidR="00E74D9C" w:rsidRDefault="00A168FC" w:rsidP="00E57437"/>
  <w:p w:rsidR="00E74D9C" w:rsidRDefault="00A168FC" w:rsidP="00E57437"/>
  <w:p w:rsidR="00E74D9C" w:rsidRDefault="00A168FC" w:rsidP="001B3D0B"/>
  <w:p w:rsidR="00E74D9C" w:rsidRDefault="00A168FC" w:rsidP="0012317F"/>
  <w:p w:rsidR="00E74D9C" w:rsidRDefault="00A168FC" w:rsidP="007C39AF"/>
  <w:p w:rsidR="00E74D9C" w:rsidRDefault="00A168FC" w:rsidP="008747BF"/>
  <w:p w:rsidR="00E74D9C" w:rsidRDefault="00A168FC" w:rsidP="00CA592E"/>
  <w:p w:rsidR="001B1D5E" w:rsidRDefault="00A168FC"/>
  <w:p w:rsidR="001B1D5E" w:rsidRDefault="00A168FC" w:rsidP="00577074"/>
  <w:p w:rsidR="00000000" w:rsidRDefault="00A168FC"/>
  <w:p w:rsidR="00000000" w:rsidRDefault="00A168FC" w:rsidP="00A168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9C" w:rsidRDefault="00A168FC" w:rsidP="00FE0A26">
    <w:pPr>
      <w:pStyle w:val="Zaglavlje"/>
    </w:pPr>
  </w:p>
  <w:p w:rsidR="00FE0A26" w:rsidRDefault="00A168FC" w:rsidP="00FE0A26">
    <w:pPr>
      <w:pStyle w:val="Zaglavlje"/>
    </w:pPr>
  </w:p>
  <w:p w:rsidR="00E74D9C" w:rsidRPr="000D53FD" w:rsidRDefault="00A168FC" w:rsidP="00FE0A26">
    <w:pPr>
      <w:pStyle w:val="Zaglavlje"/>
      <w:pBdr>
        <w:bottom w:val="single" w:sz="4" w:space="1" w:color="auto"/>
      </w:pBdr>
      <w:rPr>
        <w:szCs w:val="18"/>
      </w:rPr>
    </w:pPr>
    <w:r w:rsidRPr="009C32EA">
      <w:rPr>
        <w:szCs w:val="18"/>
      </w:rPr>
      <w:t xml:space="preserve">III. IZMJENE I DOPUNE PPUO </w:t>
    </w:r>
    <w:r>
      <w:rPr>
        <w:szCs w:val="18"/>
      </w:rPr>
      <w:t>SVETI JURAJ NA BREGU</w:t>
    </w:r>
    <w:r>
      <w:rPr>
        <w:szCs w:val="18"/>
      </w:rPr>
      <w:t xml:space="preserve"> – PRIJEDLOG ZA VIJEĆE</w:t>
    </w:r>
  </w:p>
  <w:p w:rsidR="00E74D9C" w:rsidRDefault="00A168FC" w:rsidP="00FE0A26">
    <w:pPr>
      <w:pStyle w:val="Zaglavlje"/>
    </w:pPr>
  </w:p>
  <w:p w:rsidR="007A75C6" w:rsidRPr="00F87B05" w:rsidRDefault="00A168FC" w:rsidP="00FE0A26">
    <w:pPr>
      <w:pStyle w:val="Zaglavlje"/>
    </w:pPr>
  </w:p>
  <w:p w:rsidR="00000000" w:rsidRDefault="00A168FC"/>
  <w:p w:rsidR="00000000" w:rsidRDefault="00A168FC" w:rsidP="00A168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7C62"/>
    <w:multiLevelType w:val="hybridMultilevel"/>
    <w:tmpl w:val="33DE1872"/>
    <w:lvl w:ilvl="0" w:tplc="041A000F">
      <w:start w:val="1"/>
      <w:numFmt w:val="decimal"/>
      <w:lvlText w:val="%1."/>
      <w:lvlJc w:val="left"/>
      <w:pPr>
        <w:ind w:left="437" w:hanging="360"/>
      </w:p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
    <w:nsid w:val="3F9C7FCB"/>
    <w:multiLevelType w:val="hybridMultilevel"/>
    <w:tmpl w:val="68BA2A0C"/>
    <w:styleLink w:val="CurrentList111128215191430"/>
    <w:lvl w:ilvl="0" w:tplc="6DE6AE40">
      <w:start w:val="1"/>
      <w:numFmt w:val="bullet"/>
      <w:pStyle w:val="Normaluvueno"/>
      <w:lvlText w:val=""/>
      <w:lvlJc w:val="left"/>
      <w:pPr>
        <w:tabs>
          <w:tab w:val="num" w:pos="360"/>
        </w:tabs>
        <w:ind w:left="360" w:hanging="360"/>
      </w:pPr>
      <w:rPr>
        <w:rFonts w:ascii="Symbol" w:hAnsi="Symbol" w:hint="default"/>
      </w:rPr>
    </w:lvl>
    <w:lvl w:ilvl="1" w:tplc="041A0019">
      <w:start w:val="3"/>
      <w:numFmt w:val="bullet"/>
      <w:lvlText w:val="-"/>
      <w:lvlJc w:val="left"/>
      <w:pPr>
        <w:tabs>
          <w:tab w:val="num" w:pos="2397"/>
        </w:tabs>
        <w:ind w:left="2397" w:hanging="750"/>
      </w:pPr>
      <w:rPr>
        <w:rFonts w:ascii="Arial" w:eastAsia="Times New Roman" w:hAnsi="Arial" w:cs="Arial" w:hint="default"/>
      </w:rPr>
    </w:lvl>
    <w:lvl w:ilvl="2" w:tplc="041A001B" w:tentative="1">
      <w:start w:val="1"/>
      <w:numFmt w:val="bullet"/>
      <w:lvlText w:val=""/>
      <w:lvlJc w:val="left"/>
      <w:pPr>
        <w:tabs>
          <w:tab w:val="num" w:pos="2727"/>
        </w:tabs>
        <w:ind w:left="2727" w:hanging="360"/>
      </w:pPr>
      <w:rPr>
        <w:rFonts w:ascii="Wingdings" w:hAnsi="Wingdings" w:hint="default"/>
      </w:rPr>
    </w:lvl>
    <w:lvl w:ilvl="3" w:tplc="041A000F" w:tentative="1">
      <w:start w:val="1"/>
      <w:numFmt w:val="bullet"/>
      <w:lvlText w:val=""/>
      <w:lvlJc w:val="left"/>
      <w:pPr>
        <w:tabs>
          <w:tab w:val="num" w:pos="3447"/>
        </w:tabs>
        <w:ind w:left="3447" w:hanging="360"/>
      </w:pPr>
      <w:rPr>
        <w:rFonts w:ascii="Symbol" w:hAnsi="Symbol" w:hint="default"/>
      </w:rPr>
    </w:lvl>
    <w:lvl w:ilvl="4" w:tplc="041A0019" w:tentative="1">
      <w:start w:val="1"/>
      <w:numFmt w:val="bullet"/>
      <w:lvlText w:val="o"/>
      <w:lvlJc w:val="left"/>
      <w:pPr>
        <w:tabs>
          <w:tab w:val="num" w:pos="4167"/>
        </w:tabs>
        <w:ind w:left="4167" w:hanging="360"/>
      </w:pPr>
      <w:rPr>
        <w:rFonts w:ascii="Courier New" w:hAnsi="Courier New" w:hint="default"/>
      </w:rPr>
    </w:lvl>
    <w:lvl w:ilvl="5" w:tplc="041A001B" w:tentative="1">
      <w:start w:val="1"/>
      <w:numFmt w:val="bullet"/>
      <w:lvlText w:val=""/>
      <w:lvlJc w:val="left"/>
      <w:pPr>
        <w:tabs>
          <w:tab w:val="num" w:pos="4887"/>
        </w:tabs>
        <w:ind w:left="4887" w:hanging="360"/>
      </w:pPr>
      <w:rPr>
        <w:rFonts w:ascii="Wingdings" w:hAnsi="Wingdings" w:hint="default"/>
      </w:rPr>
    </w:lvl>
    <w:lvl w:ilvl="6" w:tplc="041A000F" w:tentative="1">
      <w:start w:val="1"/>
      <w:numFmt w:val="bullet"/>
      <w:lvlText w:val=""/>
      <w:lvlJc w:val="left"/>
      <w:pPr>
        <w:tabs>
          <w:tab w:val="num" w:pos="5607"/>
        </w:tabs>
        <w:ind w:left="5607" w:hanging="360"/>
      </w:pPr>
      <w:rPr>
        <w:rFonts w:ascii="Symbol" w:hAnsi="Symbol" w:hint="default"/>
      </w:rPr>
    </w:lvl>
    <w:lvl w:ilvl="7" w:tplc="041A0019" w:tentative="1">
      <w:start w:val="1"/>
      <w:numFmt w:val="bullet"/>
      <w:lvlText w:val="o"/>
      <w:lvlJc w:val="left"/>
      <w:pPr>
        <w:tabs>
          <w:tab w:val="num" w:pos="6327"/>
        </w:tabs>
        <w:ind w:left="6327" w:hanging="360"/>
      </w:pPr>
      <w:rPr>
        <w:rFonts w:ascii="Courier New" w:hAnsi="Courier New" w:hint="default"/>
      </w:rPr>
    </w:lvl>
    <w:lvl w:ilvl="8" w:tplc="041A001B" w:tentative="1">
      <w:start w:val="1"/>
      <w:numFmt w:val="bullet"/>
      <w:lvlText w:val=""/>
      <w:lvlJc w:val="left"/>
      <w:pPr>
        <w:tabs>
          <w:tab w:val="num" w:pos="7047"/>
        </w:tabs>
        <w:ind w:left="7047" w:hanging="360"/>
      </w:pPr>
      <w:rPr>
        <w:rFonts w:ascii="Wingdings" w:hAnsi="Wingdings" w:hint="default"/>
      </w:rPr>
    </w:lvl>
  </w:abstractNum>
  <w:abstractNum w:abstractNumId="2">
    <w:nsid w:val="49515FD5"/>
    <w:multiLevelType w:val="hybridMultilevel"/>
    <w:tmpl w:val="4C803D40"/>
    <w:styleLink w:val="CurrentList113321311544"/>
    <w:lvl w:ilvl="0" w:tplc="4446B10A">
      <w:start w:val="1"/>
      <w:numFmt w:val="bullet"/>
      <w:pStyle w:val="Normaluvueno2"/>
      <w:lvlText w:val=""/>
      <w:lvlJc w:val="left"/>
      <w:pPr>
        <w:tabs>
          <w:tab w:val="num" w:pos="1778"/>
        </w:tabs>
        <w:ind w:left="1418"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C414BB3"/>
    <w:multiLevelType w:val="singleLevel"/>
    <w:tmpl w:val="7EB2F932"/>
    <w:lvl w:ilvl="0">
      <w:start w:val="1"/>
      <w:numFmt w:val="decimal"/>
      <w:pStyle w:val="Normalstavci"/>
      <w:lvlText w:val="(%1)"/>
      <w:lvlJc w:val="left"/>
      <w:pPr>
        <w:ind w:left="360" w:hanging="360"/>
      </w:pPr>
      <w:rPr>
        <w:rFonts w:hint="default"/>
        <w:sz w:val="16"/>
        <w:szCs w:val="16"/>
        <w:effect w:val="none"/>
      </w:rPr>
    </w:lvl>
  </w:abstractNum>
  <w:abstractNum w:abstractNumId="4">
    <w:nsid w:val="7ECC213D"/>
    <w:multiLevelType w:val="hybridMultilevel"/>
    <w:tmpl w:val="B7F83014"/>
    <w:lvl w:ilvl="0" w:tplc="C4966B96">
      <w:start w:val="1"/>
      <w:numFmt w:val="upperRoman"/>
      <w:lvlText w:val="%1."/>
      <w:lvlJc w:val="left"/>
      <w:pPr>
        <w:ind w:left="1287" w:hanging="72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
    <w:nsid w:val="7F471249"/>
    <w:multiLevelType w:val="hybridMultilevel"/>
    <w:tmpl w:val="1AE2B71C"/>
    <w:lvl w:ilvl="0" w:tplc="5F663900">
      <w:start w:val="1"/>
      <w:numFmt w:val="bullet"/>
      <w:pStyle w:val="Normaluvueno3"/>
      <w:lvlText w:val=""/>
      <w:lvlJc w:val="left"/>
      <w:pPr>
        <w:tabs>
          <w:tab w:val="num" w:pos="3119"/>
        </w:tabs>
        <w:ind w:left="3402" w:firstLine="568"/>
      </w:pPr>
      <w:rPr>
        <w:rFonts w:ascii="Symbol" w:hAnsi="Symbol" w:hint="default"/>
      </w:rPr>
    </w:lvl>
    <w:lvl w:ilvl="1" w:tplc="041A0019" w:tentative="1">
      <w:start w:val="1"/>
      <w:numFmt w:val="bullet"/>
      <w:lvlText w:val="o"/>
      <w:lvlJc w:val="left"/>
      <w:pPr>
        <w:tabs>
          <w:tab w:val="num" w:pos="3141"/>
        </w:tabs>
        <w:ind w:left="3141" w:hanging="360"/>
      </w:pPr>
      <w:rPr>
        <w:rFonts w:ascii="Courier New" w:hAnsi="Courier New" w:cs="Courier New" w:hint="default"/>
      </w:rPr>
    </w:lvl>
    <w:lvl w:ilvl="2" w:tplc="041A001B" w:tentative="1">
      <w:start w:val="1"/>
      <w:numFmt w:val="bullet"/>
      <w:lvlText w:val=""/>
      <w:lvlJc w:val="left"/>
      <w:pPr>
        <w:tabs>
          <w:tab w:val="num" w:pos="3861"/>
        </w:tabs>
        <w:ind w:left="3861" w:hanging="360"/>
      </w:pPr>
      <w:rPr>
        <w:rFonts w:ascii="Wingdings" w:hAnsi="Wingdings" w:hint="default"/>
      </w:rPr>
    </w:lvl>
    <w:lvl w:ilvl="3" w:tplc="041A000F" w:tentative="1">
      <w:start w:val="1"/>
      <w:numFmt w:val="bullet"/>
      <w:lvlText w:val=""/>
      <w:lvlJc w:val="left"/>
      <w:pPr>
        <w:tabs>
          <w:tab w:val="num" w:pos="4581"/>
        </w:tabs>
        <w:ind w:left="4581" w:hanging="360"/>
      </w:pPr>
      <w:rPr>
        <w:rFonts w:ascii="Symbol" w:hAnsi="Symbol" w:hint="default"/>
      </w:rPr>
    </w:lvl>
    <w:lvl w:ilvl="4" w:tplc="041A0019" w:tentative="1">
      <w:start w:val="1"/>
      <w:numFmt w:val="bullet"/>
      <w:lvlText w:val="o"/>
      <w:lvlJc w:val="left"/>
      <w:pPr>
        <w:tabs>
          <w:tab w:val="num" w:pos="5301"/>
        </w:tabs>
        <w:ind w:left="5301" w:hanging="360"/>
      </w:pPr>
      <w:rPr>
        <w:rFonts w:ascii="Courier New" w:hAnsi="Courier New" w:cs="Courier New" w:hint="default"/>
      </w:rPr>
    </w:lvl>
    <w:lvl w:ilvl="5" w:tplc="041A001B" w:tentative="1">
      <w:start w:val="1"/>
      <w:numFmt w:val="bullet"/>
      <w:lvlText w:val=""/>
      <w:lvlJc w:val="left"/>
      <w:pPr>
        <w:tabs>
          <w:tab w:val="num" w:pos="6021"/>
        </w:tabs>
        <w:ind w:left="6021" w:hanging="360"/>
      </w:pPr>
      <w:rPr>
        <w:rFonts w:ascii="Wingdings" w:hAnsi="Wingdings" w:hint="default"/>
      </w:rPr>
    </w:lvl>
    <w:lvl w:ilvl="6" w:tplc="041A000F" w:tentative="1">
      <w:start w:val="1"/>
      <w:numFmt w:val="bullet"/>
      <w:lvlText w:val=""/>
      <w:lvlJc w:val="left"/>
      <w:pPr>
        <w:tabs>
          <w:tab w:val="num" w:pos="6741"/>
        </w:tabs>
        <w:ind w:left="6741" w:hanging="360"/>
      </w:pPr>
      <w:rPr>
        <w:rFonts w:ascii="Symbol" w:hAnsi="Symbol" w:hint="default"/>
      </w:rPr>
    </w:lvl>
    <w:lvl w:ilvl="7" w:tplc="041A0019" w:tentative="1">
      <w:start w:val="1"/>
      <w:numFmt w:val="bullet"/>
      <w:lvlText w:val="o"/>
      <w:lvlJc w:val="left"/>
      <w:pPr>
        <w:tabs>
          <w:tab w:val="num" w:pos="7461"/>
        </w:tabs>
        <w:ind w:left="7461" w:hanging="360"/>
      </w:pPr>
      <w:rPr>
        <w:rFonts w:ascii="Courier New" w:hAnsi="Courier New" w:cs="Courier New" w:hint="default"/>
      </w:rPr>
    </w:lvl>
    <w:lvl w:ilvl="8" w:tplc="041A001B"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0"/>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FC"/>
    <w:rsid w:val="00594B0F"/>
    <w:rsid w:val="00A168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168FC"/>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0"/>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A168FC"/>
    <w:pPr>
      <w:tabs>
        <w:tab w:val="center" w:pos="4536"/>
        <w:tab w:val="right" w:pos="9072"/>
      </w:tabs>
      <w:ind w:firstLine="0"/>
      <w:jc w:val="center"/>
    </w:pPr>
    <w:rPr>
      <w:sz w:val="18"/>
    </w:rPr>
  </w:style>
  <w:style w:type="character" w:customStyle="1" w:styleId="ZaglavljeChar">
    <w:name w:val="Zaglavlje Char"/>
    <w:basedOn w:val="Zadanifontodlomka"/>
    <w:link w:val="Zaglavlje"/>
    <w:rsid w:val="00A168FC"/>
    <w:rPr>
      <w:rFonts w:ascii="Arial" w:eastAsia="Times New Roman" w:hAnsi="Arial" w:cs="Times New Roman"/>
      <w:sz w:val="18"/>
      <w:szCs w:val="24"/>
      <w:lang w:eastAsia="hr-HR"/>
    </w:rPr>
  </w:style>
  <w:style w:type="paragraph" w:styleId="Podnoje">
    <w:name w:val="footer"/>
    <w:basedOn w:val="Normal"/>
    <w:link w:val="PodnojeChar"/>
    <w:uiPriority w:val="99"/>
    <w:rsid w:val="00A168FC"/>
    <w:pPr>
      <w:tabs>
        <w:tab w:val="center" w:pos="4536"/>
        <w:tab w:val="right" w:pos="9072"/>
      </w:tabs>
    </w:pPr>
  </w:style>
  <w:style w:type="character" w:customStyle="1" w:styleId="PodnojeChar">
    <w:name w:val="Podnožje Char"/>
    <w:basedOn w:val="Zadanifontodlomka"/>
    <w:link w:val="Podnoje"/>
    <w:uiPriority w:val="99"/>
    <w:rsid w:val="00A168FC"/>
    <w:rPr>
      <w:rFonts w:ascii="Arial" w:eastAsia="Times New Roman" w:hAnsi="Arial" w:cs="Times New Roman"/>
      <w:sz w:val="20"/>
      <w:szCs w:val="24"/>
      <w:lang w:eastAsia="hr-HR"/>
    </w:rPr>
  </w:style>
  <w:style w:type="paragraph" w:customStyle="1" w:styleId="lanak">
    <w:name w:val="članak"/>
    <w:basedOn w:val="Normal"/>
    <w:next w:val="Normal"/>
    <w:rsid w:val="00A168FC"/>
    <w:pPr>
      <w:keepNext/>
      <w:widowControl w:val="0"/>
      <w:spacing w:before="240" w:after="80"/>
      <w:ind w:firstLine="340"/>
      <w:jc w:val="center"/>
    </w:pPr>
    <w:rPr>
      <w:b/>
      <w:szCs w:val="20"/>
    </w:rPr>
  </w:style>
  <w:style w:type="paragraph" w:customStyle="1" w:styleId="Normaluvueno3">
    <w:name w:val="Normal_uvučeno3"/>
    <w:basedOn w:val="Normal"/>
    <w:rsid w:val="00A168FC"/>
    <w:pPr>
      <w:numPr>
        <w:numId w:val="2"/>
      </w:numPr>
      <w:tabs>
        <w:tab w:val="clear" w:pos="3119"/>
        <w:tab w:val="left" w:pos="1985"/>
      </w:tabs>
      <w:ind w:left="1985" w:hanging="284"/>
    </w:pPr>
    <w:rPr>
      <w:szCs w:val="20"/>
    </w:rPr>
  </w:style>
  <w:style w:type="paragraph" w:customStyle="1" w:styleId="Normalstavci">
    <w:name w:val="Normal_stavci"/>
    <w:basedOn w:val="Normal"/>
    <w:link w:val="NormalstavciChar1"/>
    <w:rsid w:val="00A168FC"/>
    <w:pPr>
      <w:widowControl w:val="0"/>
      <w:numPr>
        <w:numId w:val="5"/>
      </w:numPr>
      <w:tabs>
        <w:tab w:val="left" w:pos="851"/>
      </w:tabs>
      <w:overflowPunct/>
      <w:autoSpaceDE/>
      <w:autoSpaceDN/>
      <w:adjustRightInd/>
      <w:textAlignment w:val="auto"/>
      <w:outlineLvl w:val="0"/>
    </w:pPr>
    <w:rPr>
      <w:szCs w:val="20"/>
    </w:rPr>
  </w:style>
  <w:style w:type="character" w:customStyle="1" w:styleId="NormalstavciChar1">
    <w:name w:val="Normal_stavci Char1"/>
    <w:link w:val="Normalstavci"/>
    <w:rsid w:val="00A168FC"/>
    <w:rPr>
      <w:rFonts w:ascii="Arial" w:eastAsia="Times New Roman" w:hAnsi="Arial" w:cs="Times New Roman"/>
      <w:sz w:val="20"/>
      <w:szCs w:val="20"/>
      <w:lang w:eastAsia="hr-HR"/>
    </w:rPr>
  </w:style>
  <w:style w:type="paragraph" w:customStyle="1" w:styleId="Normaluvueno2">
    <w:name w:val="Normal_uvučeno_2"/>
    <w:basedOn w:val="Normal"/>
    <w:rsid w:val="00A168FC"/>
    <w:pPr>
      <w:numPr>
        <w:numId w:val="3"/>
      </w:numPr>
      <w:tabs>
        <w:tab w:val="clear" w:pos="1778"/>
        <w:tab w:val="num" w:pos="1418"/>
      </w:tabs>
      <w:ind w:hanging="425"/>
    </w:pPr>
    <w:rPr>
      <w:szCs w:val="20"/>
    </w:rPr>
  </w:style>
  <w:style w:type="paragraph" w:customStyle="1" w:styleId="Normaluvueno">
    <w:name w:val="Normal_uvučeno"/>
    <w:basedOn w:val="Normal"/>
    <w:link w:val="NormaluvuenoChar"/>
    <w:rsid w:val="00A168FC"/>
    <w:pPr>
      <w:numPr>
        <w:numId w:val="1"/>
      </w:numPr>
      <w:tabs>
        <w:tab w:val="clear" w:pos="360"/>
      </w:tabs>
      <w:overflowPunct/>
      <w:autoSpaceDE/>
      <w:autoSpaceDN/>
      <w:adjustRightInd/>
      <w:ind w:left="851"/>
      <w:textAlignment w:val="auto"/>
    </w:pPr>
  </w:style>
  <w:style w:type="paragraph" w:styleId="Odlomakpopisa">
    <w:name w:val="List Paragraph"/>
    <w:basedOn w:val="Normal"/>
    <w:uiPriority w:val="34"/>
    <w:qFormat/>
    <w:rsid w:val="00A168FC"/>
    <w:pPr>
      <w:ind w:left="720"/>
      <w:contextualSpacing/>
    </w:pPr>
  </w:style>
  <w:style w:type="character" w:customStyle="1" w:styleId="NormaluvuenoChar">
    <w:name w:val="Normal_uvučeno Char"/>
    <w:link w:val="Normaluvueno"/>
    <w:rsid w:val="00A168FC"/>
    <w:rPr>
      <w:rFonts w:ascii="Arial" w:eastAsia="Times New Roman" w:hAnsi="Arial" w:cs="Times New Roman"/>
      <w:sz w:val="20"/>
      <w:szCs w:val="24"/>
      <w:lang w:eastAsia="hr-HR"/>
    </w:rPr>
  </w:style>
  <w:style w:type="numbering" w:customStyle="1" w:styleId="CurrentList111128215191430">
    <w:name w:val="Current List111128215191430"/>
    <w:rsid w:val="00A168FC"/>
    <w:pPr>
      <w:numPr>
        <w:numId w:val="1"/>
      </w:numPr>
    </w:pPr>
  </w:style>
  <w:style w:type="numbering" w:customStyle="1" w:styleId="CurrentList113321311544">
    <w:name w:val="Current List113321311544"/>
    <w:rsid w:val="00A168FC"/>
    <w:pPr>
      <w:numPr>
        <w:numId w:val="3"/>
      </w:numPr>
    </w:pPr>
  </w:style>
  <w:style w:type="table" w:customStyle="1" w:styleId="Reetkatablice4">
    <w:name w:val="Rešetka tablice4"/>
    <w:basedOn w:val="Obinatablica"/>
    <w:next w:val="Reetkatablice"/>
    <w:rsid w:val="00A168FC"/>
    <w:pPr>
      <w:spacing w:after="0" w:line="240" w:lineRule="auto"/>
      <w:ind w:firstLine="567"/>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A1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168FC"/>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0"/>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A168FC"/>
    <w:pPr>
      <w:tabs>
        <w:tab w:val="center" w:pos="4536"/>
        <w:tab w:val="right" w:pos="9072"/>
      </w:tabs>
      <w:ind w:firstLine="0"/>
      <w:jc w:val="center"/>
    </w:pPr>
    <w:rPr>
      <w:sz w:val="18"/>
    </w:rPr>
  </w:style>
  <w:style w:type="character" w:customStyle="1" w:styleId="ZaglavljeChar">
    <w:name w:val="Zaglavlje Char"/>
    <w:basedOn w:val="Zadanifontodlomka"/>
    <w:link w:val="Zaglavlje"/>
    <w:rsid w:val="00A168FC"/>
    <w:rPr>
      <w:rFonts w:ascii="Arial" w:eastAsia="Times New Roman" w:hAnsi="Arial" w:cs="Times New Roman"/>
      <w:sz w:val="18"/>
      <w:szCs w:val="24"/>
      <w:lang w:eastAsia="hr-HR"/>
    </w:rPr>
  </w:style>
  <w:style w:type="paragraph" w:styleId="Podnoje">
    <w:name w:val="footer"/>
    <w:basedOn w:val="Normal"/>
    <w:link w:val="PodnojeChar"/>
    <w:uiPriority w:val="99"/>
    <w:rsid w:val="00A168FC"/>
    <w:pPr>
      <w:tabs>
        <w:tab w:val="center" w:pos="4536"/>
        <w:tab w:val="right" w:pos="9072"/>
      </w:tabs>
    </w:pPr>
  </w:style>
  <w:style w:type="character" w:customStyle="1" w:styleId="PodnojeChar">
    <w:name w:val="Podnožje Char"/>
    <w:basedOn w:val="Zadanifontodlomka"/>
    <w:link w:val="Podnoje"/>
    <w:uiPriority w:val="99"/>
    <w:rsid w:val="00A168FC"/>
    <w:rPr>
      <w:rFonts w:ascii="Arial" w:eastAsia="Times New Roman" w:hAnsi="Arial" w:cs="Times New Roman"/>
      <w:sz w:val="20"/>
      <w:szCs w:val="24"/>
      <w:lang w:eastAsia="hr-HR"/>
    </w:rPr>
  </w:style>
  <w:style w:type="paragraph" w:customStyle="1" w:styleId="lanak">
    <w:name w:val="članak"/>
    <w:basedOn w:val="Normal"/>
    <w:next w:val="Normal"/>
    <w:rsid w:val="00A168FC"/>
    <w:pPr>
      <w:keepNext/>
      <w:widowControl w:val="0"/>
      <w:spacing w:before="240" w:after="80"/>
      <w:ind w:firstLine="340"/>
      <w:jc w:val="center"/>
    </w:pPr>
    <w:rPr>
      <w:b/>
      <w:szCs w:val="20"/>
    </w:rPr>
  </w:style>
  <w:style w:type="paragraph" w:customStyle="1" w:styleId="Normaluvueno3">
    <w:name w:val="Normal_uvučeno3"/>
    <w:basedOn w:val="Normal"/>
    <w:rsid w:val="00A168FC"/>
    <w:pPr>
      <w:numPr>
        <w:numId w:val="2"/>
      </w:numPr>
      <w:tabs>
        <w:tab w:val="clear" w:pos="3119"/>
        <w:tab w:val="left" w:pos="1985"/>
      </w:tabs>
      <w:ind w:left="1985" w:hanging="284"/>
    </w:pPr>
    <w:rPr>
      <w:szCs w:val="20"/>
    </w:rPr>
  </w:style>
  <w:style w:type="paragraph" w:customStyle="1" w:styleId="Normalstavci">
    <w:name w:val="Normal_stavci"/>
    <w:basedOn w:val="Normal"/>
    <w:link w:val="NormalstavciChar1"/>
    <w:rsid w:val="00A168FC"/>
    <w:pPr>
      <w:widowControl w:val="0"/>
      <w:numPr>
        <w:numId w:val="5"/>
      </w:numPr>
      <w:tabs>
        <w:tab w:val="left" w:pos="851"/>
      </w:tabs>
      <w:overflowPunct/>
      <w:autoSpaceDE/>
      <w:autoSpaceDN/>
      <w:adjustRightInd/>
      <w:textAlignment w:val="auto"/>
      <w:outlineLvl w:val="0"/>
    </w:pPr>
    <w:rPr>
      <w:szCs w:val="20"/>
    </w:rPr>
  </w:style>
  <w:style w:type="character" w:customStyle="1" w:styleId="NormalstavciChar1">
    <w:name w:val="Normal_stavci Char1"/>
    <w:link w:val="Normalstavci"/>
    <w:rsid w:val="00A168FC"/>
    <w:rPr>
      <w:rFonts w:ascii="Arial" w:eastAsia="Times New Roman" w:hAnsi="Arial" w:cs="Times New Roman"/>
      <w:sz w:val="20"/>
      <w:szCs w:val="20"/>
      <w:lang w:eastAsia="hr-HR"/>
    </w:rPr>
  </w:style>
  <w:style w:type="paragraph" w:customStyle="1" w:styleId="Normaluvueno2">
    <w:name w:val="Normal_uvučeno_2"/>
    <w:basedOn w:val="Normal"/>
    <w:rsid w:val="00A168FC"/>
    <w:pPr>
      <w:numPr>
        <w:numId w:val="3"/>
      </w:numPr>
      <w:tabs>
        <w:tab w:val="clear" w:pos="1778"/>
        <w:tab w:val="num" w:pos="1418"/>
      </w:tabs>
      <w:ind w:hanging="425"/>
    </w:pPr>
    <w:rPr>
      <w:szCs w:val="20"/>
    </w:rPr>
  </w:style>
  <w:style w:type="paragraph" w:customStyle="1" w:styleId="Normaluvueno">
    <w:name w:val="Normal_uvučeno"/>
    <w:basedOn w:val="Normal"/>
    <w:link w:val="NormaluvuenoChar"/>
    <w:rsid w:val="00A168FC"/>
    <w:pPr>
      <w:numPr>
        <w:numId w:val="1"/>
      </w:numPr>
      <w:tabs>
        <w:tab w:val="clear" w:pos="360"/>
      </w:tabs>
      <w:overflowPunct/>
      <w:autoSpaceDE/>
      <w:autoSpaceDN/>
      <w:adjustRightInd/>
      <w:ind w:left="851"/>
      <w:textAlignment w:val="auto"/>
    </w:pPr>
  </w:style>
  <w:style w:type="paragraph" w:styleId="Odlomakpopisa">
    <w:name w:val="List Paragraph"/>
    <w:basedOn w:val="Normal"/>
    <w:uiPriority w:val="34"/>
    <w:qFormat/>
    <w:rsid w:val="00A168FC"/>
    <w:pPr>
      <w:ind w:left="720"/>
      <w:contextualSpacing/>
    </w:pPr>
  </w:style>
  <w:style w:type="character" w:customStyle="1" w:styleId="NormaluvuenoChar">
    <w:name w:val="Normal_uvučeno Char"/>
    <w:link w:val="Normaluvueno"/>
    <w:rsid w:val="00A168FC"/>
    <w:rPr>
      <w:rFonts w:ascii="Arial" w:eastAsia="Times New Roman" w:hAnsi="Arial" w:cs="Times New Roman"/>
      <w:sz w:val="20"/>
      <w:szCs w:val="24"/>
      <w:lang w:eastAsia="hr-HR"/>
    </w:rPr>
  </w:style>
  <w:style w:type="numbering" w:customStyle="1" w:styleId="CurrentList111128215191430">
    <w:name w:val="Current List111128215191430"/>
    <w:rsid w:val="00A168FC"/>
    <w:pPr>
      <w:numPr>
        <w:numId w:val="1"/>
      </w:numPr>
    </w:pPr>
  </w:style>
  <w:style w:type="numbering" w:customStyle="1" w:styleId="CurrentList113321311544">
    <w:name w:val="Current List113321311544"/>
    <w:rsid w:val="00A168FC"/>
    <w:pPr>
      <w:numPr>
        <w:numId w:val="3"/>
      </w:numPr>
    </w:pPr>
  </w:style>
  <w:style w:type="table" w:customStyle="1" w:styleId="Reetkatablice4">
    <w:name w:val="Rešetka tablice4"/>
    <w:basedOn w:val="Obinatablica"/>
    <w:next w:val="Reetkatablice"/>
    <w:rsid w:val="00A168FC"/>
    <w:pPr>
      <w:spacing w:after="0" w:line="240" w:lineRule="auto"/>
      <w:ind w:firstLine="567"/>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A1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4039</Words>
  <Characters>23026</Characters>
  <Application>Microsoft Office Word</Application>
  <DocSecurity>0</DocSecurity>
  <Lines>191</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1</cp:revision>
  <dcterms:created xsi:type="dcterms:W3CDTF">2023-03-31T08:14:00Z</dcterms:created>
  <dcterms:modified xsi:type="dcterms:W3CDTF">2023-03-31T08:20:00Z</dcterms:modified>
</cp:coreProperties>
</file>